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8AB" w:rsidRPr="008E7BB7" w:rsidRDefault="002F223F" w:rsidP="00244917">
      <w:pPr>
        <w:spacing w:after="0" w:line="240" w:lineRule="auto"/>
        <w:jc w:val="center"/>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2021</w:t>
      </w:r>
      <w:r w:rsidR="007F1F49" w:rsidRPr="008E7BB7">
        <w:rPr>
          <w:rFonts w:ascii="Times New Roman" w:hAnsi="Times New Roman" w:cs="Times New Roman"/>
          <w:b/>
          <w:color w:val="C00000"/>
          <w:sz w:val="24"/>
          <w:szCs w:val="24"/>
          <w:lang w:val="tr-TR"/>
        </w:rPr>
        <w:t xml:space="preserve"> YILI </w:t>
      </w:r>
      <w:r w:rsidR="00927B98" w:rsidRPr="008E7BB7">
        <w:rPr>
          <w:rFonts w:ascii="Times New Roman" w:hAnsi="Times New Roman" w:cs="Times New Roman"/>
          <w:b/>
          <w:color w:val="C00000"/>
          <w:sz w:val="24"/>
          <w:szCs w:val="24"/>
          <w:lang w:val="tr-TR"/>
        </w:rPr>
        <w:t>ÜÇÜNCÜ</w:t>
      </w:r>
      <w:r w:rsidR="002F27D9" w:rsidRPr="008E7BB7">
        <w:rPr>
          <w:rFonts w:ascii="Times New Roman" w:hAnsi="Times New Roman" w:cs="Times New Roman"/>
          <w:b/>
          <w:color w:val="C00000"/>
          <w:sz w:val="24"/>
          <w:szCs w:val="24"/>
          <w:lang w:val="tr-TR"/>
        </w:rPr>
        <w:t xml:space="preserve"> </w:t>
      </w:r>
      <w:r w:rsidR="00CC1EFA" w:rsidRPr="008E7BB7">
        <w:rPr>
          <w:rFonts w:ascii="Times New Roman" w:hAnsi="Times New Roman" w:cs="Times New Roman"/>
          <w:b/>
          <w:color w:val="C00000"/>
          <w:sz w:val="24"/>
          <w:szCs w:val="24"/>
          <w:lang w:val="tr-TR"/>
        </w:rPr>
        <w:t xml:space="preserve">ÜÇ </w:t>
      </w:r>
      <w:r w:rsidR="00873A82" w:rsidRPr="008E7BB7">
        <w:rPr>
          <w:rFonts w:ascii="Times New Roman" w:hAnsi="Times New Roman" w:cs="Times New Roman"/>
          <w:b/>
          <w:color w:val="C00000"/>
          <w:sz w:val="24"/>
          <w:szCs w:val="24"/>
          <w:lang w:val="tr-TR"/>
        </w:rPr>
        <w:t xml:space="preserve">AYINA İLİŞKİN </w:t>
      </w:r>
    </w:p>
    <w:p w:rsidR="00873A82" w:rsidRPr="008E7BB7" w:rsidRDefault="00873A82" w:rsidP="00244917">
      <w:pPr>
        <w:spacing w:after="0" w:line="240" w:lineRule="auto"/>
        <w:jc w:val="center"/>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PİYASA GÖZETİMİ VE DENETİMİ SONUÇLARI</w:t>
      </w:r>
    </w:p>
    <w:p w:rsidR="00390EAF" w:rsidRPr="008E7BB7" w:rsidRDefault="00390EAF" w:rsidP="00244917">
      <w:pPr>
        <w:widowControl w:val="0"/>
        <w:autoSpaceDE w:val="0"/>
        <w:autoSpaceDN w:val="0"/>
        <w:adjustRightInd w:val="0"/>
        <w:spacing w:after="0" w:line="240" w:lineRule="auto"/>
        <w:jc w:val="both"/>
        <w:rPr>
          <w:rFonts w:ascii="Times New Roman" w:hAnsi="Times New Roman" w:cs="Times New Roman"/>
          <w:b/>
          <w:color w:val="C00000"/>
          <w:sz w:val="24"/>
          <w:szCs w:val="24"/>
          <w:lang w:val="tr-TR"/>
        </w:rPr>
      </w:pPr>
    </w:p>
    <w:p w:rsidR="00873A82" w:rsidRPr="008E7BB7" w:rsidRDefault="00873A82" w:rsidP="00244917">
      <w:pPr>
        <w:widowControl w:val="0"/>
        <w:autoSpaceDE w:val="0"/>
        <w:autoSpaceDN w:val="0"/>
        <w:adjustRightInd w:val="0"/>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 xml:space="preserve">Temel amacı piyasaya mevzuata uygun ve güvenli ürün arz edilmesinin sağlanması olan piyasa gözetimi ve denetimi (PGD) faaliyetlerini ülkemizde 9 farklı kamu kuruluşu yürütmektedir. PGD uygulamasının temelini oluşturan kalite altyapısının kurulması ve AB teknik mevzuatının uyumlaştırılması çalışmalarında önemli rol üstlenen Bakanlığımız, ulusal düzeyde koordinatör kuruluş olarak görevlendirilmiştir. </w:t>
      </w:r>
    </w:p>
    <w:p w:rsidR="0011125B" w:rsidRPr="008E7BB7" w:rsidRDefault="0011125B" w:rsidP="00244917">
      <w:pPr>
        <w:widowControl w:val="0"/>
        <w:autoSpaceDE w:val="0"/>
        <w:autoSpaceDN w:val="0"/>
        <w:adjustRightInd w:val="0"/>
        <w:spacing w:after="0" w:line="240" w:lineRule="auto"/>
        <w:jc w:val="both"/>
        <w:rPr>
          <w:rFonts w:ascii="Times New Roman" w:hAnsi="Times New Roman" w:cs="Times New Roman"/>
          <w:sz w:val="24"/>
          <w:szCs w:val="24"/>
          <w:lang w:val="tr-TR"/>
        </w:rPr>
      </w:pPr>
    </w:p>
    <w:p w:rsidR="00873A82" w:rsidRPr="008E7BB7" w:rsidRDefault="003F2CE7"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Bakanlığımızca, söz</w:t>
      </w:r>
      <w:r w:rsidR="00873A82" w:rsidRPr="008E7BB7">
        <w:rPr>
          <w:rFonts w:ascii="Times New Roman" w:hAnsi="Times New Roman" w:cs="Times New Roman"/>
          <w:sz w:val="24"/>
          <w:szCs w:val="24"/>
          <w:lang w:val="tr-TR"/>
        </w:rPr>
        <w:t xml:space="preserve"> konusu koordinasyon görevi kapsamında, 2009 yılından bu yana her sene PGD kuruluşlarının bir önceki yıla ait denetim istatistikleri derlenerek, </w:t>
      </w:r>
      <w:proofErr w:type="spellStart"/>
      <w:r w:rsidR="00873A82" w:rsidRPr="008E7BB7">
        <w:rPr>
          <w:rFonts w:ascii="Times New Roman" w:hAnsi="Times New Roman" w:cs="Times New Roman"/>
          <w:sz w:val="24"/>
          <w:szCs w:val="24"/>
          <w:lang w:val="tr-TR"/>
        </w:rPr>
        <w:t>PGD'nin</w:t>
      </w:r>
      <w:proofErr w:type="spellEnd"/>
      <w:r w:rsidR="00873A82" w:rsidRPr="008E7BB7">
        <w:rPr>
          <w:rFonts w:ascii="Times New Roman" w:hAnsi="Times New Roman" w:cs="Times New Roman"/>
          <w:sz w:val="24"/>
          <w:szCs w:val="24"/>
          <w:lang w:val="tr-TR"/>
        </w:rPr>
        <w:t xml:space="preserve"> yıllar</w:t>
      </w:r>
      <w:r w:rsidR="00D077A3" w:rsidRPr="008E7BB7">
        <w:rPr>
          <w:rFonts w:ascii="Times New Roman" w:hAnsi="Times New Roman" w:cs="Times New Roman"/>
          <w:sz w:val="24"/>
          <w:szCs w:val="24"/>
          <w:lang w:val="tr-TR"/>
        </w:rPr>
        <w:t xml:space="preserve"> içindeki gelişiminin ortaya kon</w:t>
      </w:r>
      <w:r w:rsidR="00873A82" w:rsidRPr="008E7BB7">
        <w:rPr>
          <w:rFonts w:ascii="Times New Roman" w:hAnsi="Times New Roman" w:cs="Times New Roman"/>
          <w:sz w:val="24"/>
          <w:szCs w:val="24"/>
          <w:lang w:val="tr-TR"/>
        </w:rPr>
        <w:t>ulması amacıyla yıllık raporlar hazırlanmaktır.</w:t>
      </w:r>
      <w:r w:rsidR="00621E98" w:rsidRPr="008E7BB7">
        <w:rPr>
          <w:rFonts w:ascii="Times New Roman" w:hAnsi="Times New Roman" w:cs="Times New Roman"/>
          <w:sz w:val="24"/>
          <w:szCs w:val="24"/>
          <w:lang w:val="tr-TR"/>
        </w:rPr>
        <w:t xml:space="preserve"> Bununla birlikte, 2018 yılı ilk dokuz aylık döneminden başlamak üzere, PGD raporları üçer aylık ar</w:t>
      </w:r>
      <w:r w:rsidR="00214E8B" w:rsidRPr="008E7BB7">
        <w:rPr>
          <w:rFonts w:ascii="Times New Roman" w:hAnsi="Times New Roman" w:cs="Times New Roman"/>
          <w:sz w:val="24"/>
          <w:szCs w:val="24"/>
          <w:lang w:val="tr-TR"/>
        </w:rPr>
        <w:t>alıklarla yayımlanarak kamuoyu</w:t>
      </w:r>
      <w:r w:rsidR="00621E98" w:rsidRPr="008E7BB7">
        <w:rPr>
          <w:rFonts w:ascii="Times New Roman" w:hAnsi="Times New Roman" w:cs="Times New Roman"/>
          <w:sz w:val="24"/>
          <w:szCs w:val="24"/>
          <w:lang w:val="tr-TR"/>
        </w:rPr>
        <w:t xml:space="preserve"> düzenli olarak bilgilendirilmektedir. </w:t>
      </w:r>
    </w:p>
    <w:p w:rsidR="00390EAF" w:rsidRPr="008E7BB7" w:rsidRDefault="00390EAF" w:rsidP="00244917">
      <w:pPr>
        <w:spacing w:after="0" w:line="240" w:lineRule="auto"/>
        <w:jc w:val="both"/>
        <w:rPr>
          <w:rFonts w:ascii="Times New Roman" w:hAnsi="Times New Roman" w:cs="Times New Roman"/>
          <w:b/>
          <w:color w:val="C00000"/>
          <w:sz w:val="24"/>
          <w:szCs w:val="24"/>
          <w:lang w:val="tr-TR"/>
        </w:rPr>
      </w:pPr>
    </w:p>
    <w:p w:rsidR="00873A82" w:rsidRPr="008E7BB7" w:rsidRDefault="00873A82" w:rsidP="00244917">
      <w:pPr>
        <w:spacing w:after="0" w:line="240" w:lineRule="auto"/>
        <w:jc w:val="both"/>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METODOLOJİ</w:t>
      </w:r>
    </w:p>
    <w:p w:rsidR="0011125B" w:rsidRPr="008E7BB7" w:rsidRDefault="0011125B" w:rsidP="00244917">
      <w:pPr>
        <w:spacing w:after="0" w:line="240" w:lineRule="auto"/>
        <w:jc w:val="both"/>
        <w:rPr>
          <w:rFonts w:ascii="Times New Roman" w:hAnsi="Times New Roman" w:cs="Times New Roman"/>
          <w:b/>
          <w:color w:val="C00000"/>
          <w:sz w:val="24"/>
          <w:szCs w:val="24"/>
          <w:lang w:val="tr-TR"/>
        </w:rPr>
      </w:pPr>
    </w:p>
    <w:p w:rsidR="00873A82" w:rsidRPr="008E7BB7" w:rsidRDefault="00390EAF"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B</w:t>
      </w:r>
      <w:r w:rsidR="00002193" w:rsidRPr="008E7BB7">
        <w:rPr>
          <w:rFonts w:ascii="Times New Roman" w:hAnsi="Times New Roman" w:cs="Times New Roman"/>
          <w:sz w:val="24"/>
          <w:szCs w:val="24"/>
          <w:lang w:val="tr-TR"/>
        </w:rPr>
        <w:t>u raporda</w:t>
      </w:r>
      <w:r w:rsidR="00873A82" w:rsidRPr="008E7BB7">
        <w:rPr>
          <w:rFonts w:ascii="Times New Roman" w:hAnsi="Times New Roman" w:cs="Times New Roman"/>
          <w:sz w:val="24"/>
          <w:szCs w:val="24"/>
          <w:lang w:val="tr-TR"/>
        </w:rPr>
        <w:t>, Sağlık Bakanlığı</w:t>
      </w:r>
      <w:r w:rsidR="006B09BD" w:rsidRPr="008E7BB7">
        <w:rPr>
          <w:rFonts w:ascii="Times New Roman" w:hAnsi="Times New Roman" w:cs="Times New Roman"/>
          <w:sz w:val="24"/>
          <w:szCs w:val="24"/>
          <w:lang w:val="tr-TR"/>
        </w:rPr>
        <w:t xml:space="preserve"> (SB)</w:t>
      </w:r>
      <w:r w:rsidR="00FB1EE5" w:rsidRPr="008E7BB7">
        <w:rPr>
          <w:rFonts w:ascii="Times New Roman" w:hAnsi="Times New Roman" w:cs="Times New Roman"/>
          <w:sz w:val="24"/>
          <w:szCs w:val="24"/>
          <w:lang w:val="tr-TR"/>
        </w:rPr>
        <w:t xml:space="preserve"> (</w:t>
      </w:r>
      <w:proofErr w:type="spellStart"/>
      <w:r w:rsidR="00753B3E" w:rsidRPr="008E7BB7">
        <w:rPr>
          <w:rFonts w:ascii="Times New Roman" w:hAnsi="Times New Roman" w:cs="Times New Roman"/>
          <w:sz w:val="24"/>
          <w:szCs w:val="24"/>
          <w:lang w:val="tr-TR"/>
        </w:rPr>
        <w:t>biyosidal</w:t>
      </w:r>
      <w:proofErr w:type="spellEnd"/>
      <w:r w:rsidR="00753B3E" w:rsidRPr="008E7BB7">
        <w:rPr>
          <w:rFonts w:ascii="Times New Roman" w:hAnsi="Times New Roman" w:cs="Times New Roman"/>
          <w:sz w:val="24"/>
          <w:szCs w:val="24"/>
          <w:lang w:val="tr-TR"/>
        </w:rPr>
        <w:t xml:space="preserve"> ürünler</w:t>
      </w:r>
      <w:r w:rsidR="00FB1EE5" w:rsidRPr="008E7BB7">
        <w:rPr>
          <w:rFonts w:ascii="Times New Roman" w:hAnsi="Times New Roman" w:cs="Times New Roman"/>
          <w:sz w:val="24"/>
          <w:szCs w:val="24"/>
          <w:lang w:val="tr-TR"/>
        </w:rPr>
        <w:t>)</w:t>
      </w:r>
      <w:r w:rsidR="00C97C88" w:rsidRPr="008E7BB7">
        <w:rPr>
          <w:rFonts w:ascii="Times New Roman" w:hAnsi="Times New Roman" w:cs="Times New Roman"/>
          <w:sz w:val="24"/>
          <w:szCs w:val="24"/>
          <w:lang w:val="tr-TR"/>
        </w:rPr>
        <w:t>, Çalışma ve Sosyal Güvenlik Bakanlığı (ÇSG</w:t>
      </w:r>
      <w:r w:rsidR="008B2B4E" w:rsidRPr="008E7BB7">
        <w:rPr>
          <w:rFonts w:ascii="Times New Roman" w:hAnsi="Times New Roman" w:cs="Times New Roman"/>
          <w:sz w:val="24"/>
          <w:szCs w:val="24"/>
          <w:lang w:val="tr-TR"/>
        </w:rPr>
        <w:t>B)</w:t>
      </w:r>
      <w:r w:rsidR="00927B98" w:rsidRPr="008E7BB7">
        <w:rPr>
          <w:rFonts w:ascii="Times New Roman" w:hAnsi="Times New Roman" w:cs="Times New Roman"/>
          <w:sz w:val="24"/>
          <w:szCs w:val="24"/>
          <w:lang w:val="tr-TR"/>
        </w:rPr>
        <w:t>,</w:t>
      </w:r>
      <w:r w:rsidR="000871C1" w:rsidRPr="008E7BB7">
        <w:rPr>
          <w:rFonts w:ascii="Times New Roman" w:hAnsi="Times New Roman" w:cs="Times New Roman"/>
          <w:sz w:val="24"/>
          <w:szCs w:val="24"/>
          <w:lang w:val="tr-TR"/>
        </w:rPr>
        <w:t xml:space="preserve"> </w:t>
      </w:r>
      <w:r w:rsidR="00753B3E" w:rsidRPr="008E7BB7">
        <w:rPr>
          <w:rFonts w:ascii="Times New Roman" w:hAnsi="Times New Roman" w:cs="Times New Roman"/>
          <w:sz w:val="24"/>
          <w:szCs w:val="24"/>
          <w:lang w:val="tr-TR"/>
        </w:rPr>
        <w:t>Tarım ve Orman Bakanlığı</w:t>
      </w:r>
      <w:r w:rsidR="008517F7" w:rsidRPr="008E7BB7">
        <w:rPr>
          <w:rFonts w:ascii="Times New Roman" w:hAnsi="Times New Roman" w:cs="Times New Roman"/>
          <w:sz w:val="24"/>
          <w:szCs w:val="24"/>
          <w:lang w:val="tr-TR"/>
        </w:rPr>
        <w:t xml:space="preserve"> (TOB)</w:t>
      </w:r>
      <w:r w:rsidR="00753B3E" w:rsidRPr="008E7BB7">
        <w:rPr>
          <w:rFonts w:ascii="Times New Roman" w:hAnsi="Times New Roman" w:cs="Times New Roman"/>
          <w:sz w:val="24"/>
          <w:szCs w:val="24"/>
          <w:lang w:val="tr-TR"/>
        </w:rPr>
        <w:t xml:space="preserve"> (</w:t>
      </w:r>
      <w:r w:rsidR="00927B98" w:rsidRPr="008E7BB7">
        <w:rPr>
          <w:rFonts w:ascii="Times New Roman" w:hAnsi="Times New Roman" w:cs="Times New Roman"/>
          <w:sz w:val="24"/>
          <w:szCs w:val="24"/>
          <w:lang w:val="tr-TR"/>
        </w:rPr>
        <w:t>yem</w:t>
      </w:r>
      <w:r w:rsidR="00753B3E" w:rsidRPr="008E7BB7">
        <w:rPr>
          <w:rFonts w:ascii="Times New Roman" w:hAnsi="Times New Roman" w:cs="Times New Roman"/>
          <w:sz w:val="24"/>
          <w:szCs w:val="24"/>
          <w:lang w:val="tr-TR"/>
        </w:rPr>
        <w:t>), Çevre</w:t>
      </w:r>
      <w:r w:rsidR="000871C1" w:rsidRPr="008E7BB7">
        <w:rPr>
          <w:rFonts w:ascii="Times New Roman" w:hAnsi="Times New Roman" w:cs="Times New Roman"/>
          <w:sz w:val="24"/>
          <w:szCs w:val="24"/>
          <w:lang w:val="tr-TR"/>
        </w:rPr>
        <w:t>,</w:t>
      </w:r>
      <w:r w:rsidR="00753B3E" w:rsidRPr="008E7BB7">
        <w:rPr>
          <w:rFonts w:ascii="Times New Roman" w:hAnsi="Times New Roman" w:cs="Times New Roman"/>
          <w:sz w:val="24"/>
          <w:szCs w:val="24"/>
          <w:lang w:val="tr-TR"/>
        </w:rPr>
        <w:t xml:space="preserve"> Şehircilik</w:t>
      </w:r>
      <w:r w:rsidR="000871C1" w:rsidRPr="008E7BB7">
        <w:rPr>
          <w:rFonts w:ascii="Times New Roman" w:hAnsi="Times New Roman" w:cs="Times New Roman"/>
          <w:sz w:val="24"/>
          <w:szCs w:val="24"/>
          <w:lang w:val="tr-TR"/>
        </w:rPr>
        <w:t xml:space="preserve"> ve İklim Değişikliği</w:t>
      </w:r>
      <w:r w:rsidR="00753B3E" w:rsidRPr="008E7BB7">
        <w:rPr>
          <w:rFonts w:ascii="Times New Roman" w:hAnsi="Times New Roman" w:cs="Times New Roman"/>
          <w:sz w:val="24"/>
          <w:szCs w:val="24"/>
          <w:lang w:val="tr-TR"/>
        </w:rPr>
        <w:t xml:space="preserve"> Bakanlığı</w:t>
      </w:r>
      <w:r w:rsidR="008517F7" w:rsidRPr="008E7BB7">
        <w:rPr>
          <w:rFonts w:ascii="Times New Roman" w:hAnsi="Times New Roman" w:cs="Times New Roman"/>
          <w:sz w:val="24"/>
          <w:szCs w:val="24"/>
          <w:lang w:val="tr-TR"/>
        </w:rPr>
        <w:t xml:space="preserve"> (</w:t>
      </w:r>
      <w:r w:rsidR="007E07C9" w:rsidRPr="008E7BB7">
        <w:rPr>
          <w:rFonts w:ascii="Times New Roman" w:hAnsi="Times New Roman" w:cs="Times New Roman"/>
          <w:sz w:val="24"/>
          <w:szCs w:val="24"/>
          <w:lang w:val="tr-TR"/>
        </w:rPr>
        <w:t>ÇŞB) ile</w:t>
      </w:r>
      <w:r w:rsidR="00FB1EE5" w:rsidRPr="008E7BB7">
        <w:rPr>
          <w:rFonts w:ascii="Times New Roman" w:hAnsi="Times New Roman" w:cs="Times New Roman"/>
          <w:sz w:val="24"/>
          <w:szCs w:val="24"/>
          <w:lang w:val="tr-TR"/>
        </w:rPr>
        <w:t xml:space="preserve"> </w:t>
      </w:r>
      <w:r w:rsidR="008B2B4E" w:rsidRPr="008E7BB7">
        <w:rPr>
          <w:rFonts w:ascii="Times New Roman" w:hAnsi="Times New Roman" w:cs="Times New Roman"/>
          <w:sz w:val="24"/>
          <w:szCs w:val="24"/>
          <w:lang w:val="tr-TR"/>
        </w:rPr>
        <w:t xml:space="preserve">Ticaret Bakanlığı Tüketicinin Korunması ve Piyasa Gözetimi Genel Müdürlüğü (TKPGGM) </w:t>
      </w:r>
      <w:r w:rsidR="00873A82" w:rsidRPr="008E7BB7">
        <w:rPr>
          <w:rFonts w:ascii="Times New Roman" w:hAnsi="Times New Roman" w:cs="Times New Roman"/>
          <w:sz w:val="24"/>
          <w:szCs w:val="24"/>
          <w:lang w:val="tr-TR"/>
        </w:rPr>
        <w:t xml:space="preserve">verileri değerlendirmeye alınmıştır. </w:t>
      </w:r>
    </w:p>
    <w:p w:rsidR="0011125B" w:rsidRPr="008E7BB7" w:rsidRDefault="0011125B" w:rsidP="00244917">
      <w:pPr>
        <w:spacing w:after="0" w:line="240" w:lineRule="auto"/>
        <w:jc w:val="both"/>
        <w:rPr>
          <w:rFonts w:ascii="Times New Roman" w:hAnsi="Times New Roman" w:cs="Times New Roman"/>
          <w:sz w:val="24"/>
          <w:szCs w:val="24"/>
          <w:lang w:val="tr-TR"/>
        </w:rPr>
      </w:pPr>
    </w:p>
    <w:p w:rsidR="00873A82" w:rsidRPr="008E7BB7" w:rsidRDefault="00873A82"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 xml:space="preserve">Bununla birlikte, grafiklere yansıtılamayan ve genel değerlendirmeye </w:t>
      </w:r>
      <w:r w:rsidR="00390EAF" w:rsidRPr="008E7BB7">
        <w:rPr>
          <w:rFonts w:ascii="Times New Roman" w:hAnsi="Times New Roman" w:cs="Times New Roman"/>
          <w:sz w:val="24"/>
          <w:szCs w:val="24"/>
          <w:lang w:val="tr-TR"/>
        </w:rPr>
        <w:t>dâhil</w:t>
      </w:r>
      <w:r w:rsidRPr="008E7BB7">
        <w:rPr>
          <w:rFonts w:ascii="Times New Roman" w:hAnsi="Times New Roman" w:cs="Times New Roman"/>
          <w:sz w:val="24"/>
          <w:szCs w:val="24"/>
          <w:lang w:val="tr-TR"/>
        </w:rPr>
        <w:t xml:space="preserve"> edilemeyen söz konusu veriler rapor içerisinde ayrıca değerlendirilmiştir.</w:t>
      </w:r>
    </w:p>
    <w:p w:rsidR="0011125B" w:rsidRPr="008E7BB7" w:rsidRDefault="0011125B" w:rsidP="00244917">
      <w:pPr>
        <w:spacing w:after="0" w:line="240" w:lineRule="auto"/>
        <w:jc w:val="both"/>
        <w:rPr>
          <w:rFonts w:ascii="Times New Roman" w:hAnsi="Times New Roman" w:cs="Times New Roman"/>
          <w:sz w:val="24"/>
          <w:szCs w:val="24"/>
          <w:lang w:val="tr-TR"/>
        </w:rPr>
      </w:pPr>
    </w:p>
    <w:p w:rsidR="00AA6201" w:rsidRPr="008E7BB7" w:rsidRDefault="00AA6201"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Öte yandan, söz konusu denetim verileri ilgili PGD kuruluşl</w:t>
      </w:r>
      <w:r w:rsidR="00753B3E" w:rsidRPr="008E7BB7">
        <w:rPr>
          <w:rFonts w:ascii="Times New Roman" w:hAnsi="Times New Roman" w:cs="Times New Roman"/>
          <w:sz w:val="24"/>
          <w:szCs w:val="24"/>
          <w:lang w:val="tr-TR"/>
        </w:rPr>
        <w:t>arından temin edilmiş olup, 2021</w:t>
      </w:r>
      <w:r w:rsidR="00FB1EE5" w:rsidRPr="008E7BB7">
        <w:rPr>
          <w:rFonts w:ascii="Times New Roman" w:hAnsi="Times New Roman" w:cs="Times New Roman"/>
          <w:sz w:val="24"/>
          <w:szCs w:val="24"/>
          <w:lang w:val="tr-TR"/>
        </w:rPr>
        <w:t xml:space="preserve"> yılı </w:t>
      </w:r>
      <w:r w:rsidR="00927B98" w:rsidRPr="008E7BB7">
        <w:rPr>
          <w:rFonts w:ascii="Times New Roman" w:hAnsi="Times New Roman" w:cs="Times New Roman"/>
          <w:sz w:val="24"/>
          <w:szCs w:val="24"/>
          <w:lang w:val="tr-TR"/>
        </w:rPr>
        <w:t>Temmuz</w:t>
      </w:r>
      <w:r w:rsidR="00753B3E" w:rsidRPr="008E7BB7">
        <w:rPr>
          <w:rFonts w:ascii="Times New Roman" w:hAnsi="Times New Roman" w:cs="Times New Roman"/>
          <w:sz w:val="24"/>
          <w:szCs w:val="24"/>
          <w:lang w:val="tr-TR"/>
        </w:rPr>
        <w:t xml:space="preserve">, </w:t>
      </w:r>
      <w:r w:rsidR="00927B98" w:rsidRPr="008E7BB7">
        <w:rPr>
          <w:rFonts w:ascii="Times New Roman" w:hAnsi="Times New Roman" w:cs="Times New Roman"/>
          <w:sz w:val="24"/>
          <w:szCs w:val="24"/>
          <w:lang w:val="tr-TR"/>
        </w:rPr>
        <w:t>Ağustos</w:t>
      </w:r>
      <w:r w:rsidR="00753B3E" w:rsidRPr="008E7BB7">
        <w:rPr>
          <w:rFonts w:ascii="Times New Roman" w:hAnsi="Times New Roman" w:cs="Times New Roman"/>
          <w:sz w:val="24"/>
          <w:szCs w:val="24"/>
          <w:lang w:val="tr-TR"/>
        </w:rPr>
        <w:t xml:space="preserve"> ve </w:t>
      </w:r>
      <w:r w:rsidR="00927B98" w:rsidRPr="008E7BB7">
        <w:rPr>
          <w:rFonts w:ascii="Times New Roman" w:hAnsi="Times New Roman" w:cs="Times New Roman"/>
          <w:sz w:val="24"/>
          <w:szCs w:val="24"/>
          <w:lang w:val="tr-TR"/>
        </w:rPr>
        <w:t>Eylül</w:t>
      </w:r>
      <w:r w:rsidR="00DA758D" w:rsidRPr="008E7BB7">
        <w:rPr>
          <w:rFonts w:ascii="Times New Roman" w:hAnsi="Times New Roman" w:cs="Times New Roman"/>
          <w:sz w:val="24"/>
          <w:szCs w:val="24"/>
          <w:lang w:val="tr-TR"/>
        </w:rPr>
        <w:t xml:space="preserve"> ay</w:t>
      </w:r>
      <w:r w:rsidR="002E778C" w:rsidRPr="008E7BB7">
        <w:rPr>
          <w:rFonts w:ascii="Times New Roman" w:hAnsi="Times New Roman" w:cs="Times New Roman"/>
          <w:sz w:val="24"/>
          <w:szCs w:val="24"/>
          <w:lang w:val="tr-TR"/>
        </w:rPr>
        <w:t>larına</w:t>
      </w:r>
      <w:r w:rsidR="00DA758D" w:rsidRPr="008E7BB7">
        <w:rPr>
          <w:rFonts w:ascii="Times New Roman" w:hAnsi="Times New Roman" w:cs="Times New Roman"/>
          <w:sz w:val="24"/>
          <w:szCs w:val="24"/>
          <w:lang w:val="tr-TR"/>
        </w:rPr>
        <w:t xml:space="preserve"> ilişkin olarak denetim, test/deney veya değerlendirme </w:t>
      </w:r>
      <w:r w:rsidRPr="008E7BB7">
        <w:rPr>
          <w:rFonts w:ascii="Times New Roman" w:hAnsi="Times New Roman" w:cs="Times New Roman"/>
          <w:sz w:val="24"/>
          <w:szCs w:val="24"/>
          <w:lang w:val="tr-TR"/>
        </w:rPr>
        <w:t xml:space="preserve">süreci devam eden ürünler bulunmaktadır. </w:t>
      </w:r>
    </w:p>
    <w:p w:rsidR="00873A82" w:rsidRPr="008E7BB7" w:rsidRDefault="00873A82" w:rsidP="00244917">
      <w:pPr>
        <w:spacing w:after="0" w:line="240" w:lineRule="auto"/>
        <w:jc w:val="both"/>
        <w:rPr>
          <w:rFonts w:ascii="Times New Roman" w:hAnsi="Times New Roman" w:cs="Times New Roman"/>
          <w:sz w:val="24"/>
          <w:szCs w:val="24"/>
          <w:lang w:val="tr-TR"/>
        </w:rPr>
      </w:pPr>
    </w:p>
    <w:p w:rsidR="00843C0B" w:rsidRPr="008E7BB7" w:rsidRDefault="00843C0B" w:rsidP="00244917">
      <w:pPr>
        <w:pStyle w:val="GvdeMetni"/>
        <w:rPr>
          <w:rFonts w:eastAsiaTheme="minorHAnsi"/>
          <w:b/>
        </w:rPr>
      </w:pPr>
      <w:r w:rsidRPr="008E7BB7">
        <w:rPr>
          <w:rFonts w:eastAsiaTheme="minorHAnsi"/>
        </w:rPr>
        <w:t xml:space="preserve">Raporda yer alan “güvensiz ürün” kavramı ile kastedilen gerçek anlamda güvensizlik arz eden (insan sağlığı, can ve mal güvenliği, hayvan ve bitki yaşam ve sağlığı ile çevrenin ve tüketicinin korunması yönünden risk arz eden), dolayısıyla piyasaya arzın yasaklanması, piyasadan toplatma, ya da imha gibi müeyyidelerin uygulanmasını gerektiren ürünlerdir. </w:t>
      </w:r>
      <w:r w:rsidRPr="008E7BB7">
        <w:rPr>
          <w:rFonts w:eastAsiaTheme="minorHAnsi"/>
          <w:b/>
        </w:rPr>
        <w:t>“Uygunsuz ürün” kavramı ise şekli ve tali eksiklikleri tespit edilen (işaret eksikliği, kullanım kılavuzu eksikliği gibi), dolayısıyla toplatma, piyasaya arzı yasaklama, imha gibi önlemleri gerektirmeyen, ancak idari para cezası ile düzeltici önlem uygulanması gereken ürünlere işaret etmektedir.</w:t>
      </w:r>
    </w:p>
    <w:p w:rsidR="00390EAF" w:rsidRPr="008E7BB7" w:rsidRDefault="00390EAF" w:rsidP="00244917">
      <w:pPr>
        <w:pStyle w:val="GvdeMetni"/>
        <w:rPr>
          <w:rFonts w:eastAsiaTheme="minorHAnsi"/>
          <w:b/>
        </w:rPr>
      </w:pPr>
    </w:p>
    <w:p w:rsidR="00390EAF" w:rsidRPr="008E7BB7" w:rsidRDefault="00390EAF" w:rsidP="00244917">
      <w:pPr>
        <w:pStyle w:val="GvdeMetni"/>
        <w:rPr>
          <w:rFonts w:eastAsiaTheme="minorHAnsi"/>
          <w:b/>
        </w:rPr>
      </w:pPr>
    </w:p>
    <w:p w:rsidR="00390EAF" w:rsidRPr="008E7BB7" w:rsidRDefault="00390EAF" w:rsidP="00244917">
      <w:pPr>
        <w:pStyle w:val="GvdeMetni"/>
        <w:rPr>
          <w:rFonts w:eastAsiaTheme="minorHAnsi"/>
          <w:b/>
        </w:rPr>
      </w:pPr>
    </w:p>
    <w:p w:rsidR="00390EAF" w:rsidRPr="008E7BB7" w:rsidRDefault="00390EAF" w:rsidP="00244917">
      <w:pPr>
        <w:pStyle w:val="GvdeMetni"/>
        <w:rPr>
          <w:rFonts w:eastAsiaTheme="minorHAnsi"/>
          <w:b/>
        </w:rPr>
      </w:pPr>
    </w:p>
    <w:p w:rsidR="00873A82" w:rsidRDefault="00873A82" w:rsidP="00244917">
      <w:pPr>
        <w:spacing w:after="0" w:line="240" w:lineRule="auto"/>
        <w:jc w:val="both"/>
        <w:rPr>
          <w:rFonts w:ascii="Times New Roman" w:hAnsi="Times New Roman" w:cs="Times New Roman"/>
          <w:b/>
          <w:sz w:val="24"/>
          <w:szCs w:val="24"/>
          <w:lang w:val="tr-TR"/>
        </w:rPr>
      </w:pPr>
    </w:p>
    <w:p w:rsidR="008E7BB7" w:rsidRDefault="008E7BB7" w:rsidP="00244917">
      <w:pPr>
        <w:spacing w:after="0" w:line="240" w:lineRule="auto"/>
        <w:jc w:val="both"/>
        <w:rPr>
          <w:rFonts w:ascii="Times New Roman" w:hAnsi="Times New Roman" w:cs="Times New Roman"/>
          <w:b/>
          <w:sz w:val="24"/>
          <w:szCs w:val="24"/>
          <w:lang w:val="tr-TR"/>
        </w:rPr>
      </w:pPr>
    </w:p>
    <w:p w:rsidR="008E7BB7" w:rsidRDefault="008E7BB7" w:rsidP="00244917">
      <w:pPr>
        <w:spacing w:after="0" w:line="240" w:lineRule="auto"/>
        <w:jc w:val="both"/>
        <w:rPr>
          <w:rFonts w:ascii="Times New Roman" w:hAnsi="Times New Roman" w:cs="Times New Roman"/>
          <w:b/>
          <w:sz w:val="24"/>
          <w:szCs w:val="24"/>
          <w:lang w:val="tr-TR"/>
        </w:rPr>
      </w:pPr>
    </w:p>
    <w:p w:rsidR="00244917" w:rsidRDefault="00244917" w:rsidP="00244917">
      <w:pPr>
        <w:spacing w:after="0" w:line="240" w:lineRule="auto"/>
        <w:jc w:val="both"/>
        <w:rPr>
          <w:rFonts w:ascii="Times New Roman" w:hAnsi="Times New Roman" w:cs="Times New Roman"/>
          <w:b/>
          <w:sz w:val="24"/>
          <w:szCs w:val="24"/>
          <w:lang w:val="tr-TR"/>
        </w:rPr>
      </w:pPr>
    </w:p>
    <w:p w:rsidR="00244917" w:rsidRDefault="00244917" w:rsidP="00244917">
      <w:pPr>
        <w:spacing w:after="0" w:line="240" w:lineRule="auto"/>
        <w:jc w:val="both"/>
        <w:rPr>
          <w:rFonts w:ascii="Times New Roman" w:hAnsi="Times New Roman" w:cs="Times New Roman"/>
          <w:b/>
          <w:sz w:val="24"/>
          <w:szCs w:val="24"/>
          <w:lang w:val="tr-TR"/>
        </w:rPr>
      </w:pPr>
    </w:p>
    <w:p w:rsidR="00244917" w:rsidRDefault="00244917" w:rsidP="00244917">
      <w:pPr>
        <w:spacing w:after="0" w:line="240" w:lineRule="auto"/>
        <w:jc w:val="both"/>
        <w:rPr>
          <w:rFonts w:ascii="Times New Roman" w:hAnsi="Times New Roman" w:cs="Times New Roman"/>
          <w:b/>
          <w:sz w:val="24"/>
          <w:szCs w:val="24"/>
          <w:lang w:val="tr-TR"/>
        </w:rPr>
      </w:pPr>
    </w:p>
    <w:p w:rsidR="00244917" w:rsidRPr="008E7BB7" w:rsidRDefault="00244917" w:rsidP="00244917">
      <w:pPr>
        <w:spacing w:after="0" w:line="240" w:lineRule="auto"/>
        <w:jc w:val="both"/>
        <w:rPr>
          <w:rFonts w:ascii="Times New Roman" w:hAnsi="Times New Roman" w:cs="Times New Roman"/>
          <w:b/>
          <w:sz w:val="24"/>
          <w:szCs w:val="24"/>
          <w:lang w:val="tr-TR"/>
        </w:rPr>
      </w:pPr>
    </w:p>
    <w:p w:rsidR="003F2CE7" w:rsidRPr="008E7BB7" w:rsidRDefault="003F2CE7" w:rsidP="00244917">
      <w:pPr>
        <w:spacing w:after="0" w:line="240" w:lineRule="auto"/>
        <w:jc w:val="both"/>
        <w:rPr>
          <w:rFonts w:ascii="Times New Roman" w:hAnsi="Times New Roman" w:cs="Times New Roman"/>
          <w:b/>
          <w:sz w:val="24"/>
          <w:szCs w:val="24"/>
          <w:lang w:val="tr-TR"/>
        </w:rPr>
      </w:pPr>
    </w:p>
    <w:p w:rsidR="00390EAF" w:rsidRPr="008E7BB7" w:rsidRDefault="00390EAF" w:rsidP="00244917">
      <w:pPr>
        <w:spacing w:after="0" w:line="240" w:lineRule="auto"/>
        <w:jc w:val="both"/>
        <w:rPr>
          <w:rFonts w:ascii="Times New Roman" w:hAnsi="Times New Roman" w:cs="Times New Roman"/>
          <w:sz w:val="24"/>
          <w:szCs w:val="24"/>
          <w:lang w:val="tr-TR"/>
        </w:rPr>
      </w:pPr>
    </w:p>
    <w:p w:rsidR="008E2DC1" w:rsidRPr="008E7BB7" w:rsidRDefault="008E2DC1" w:rsidP="00244917">
      <w:pPr>
        <w:spacing w:after="0" w:line="240" w:lineRule="auto"/>
        <w:jc w:val="both"/>
        <w:rPr>
          <w:rFonts w:ascii="Times New Roman" w:hAnsi="Times New Roman" w:cs="Times New Roman"/>
          <w:sz w:val="24"/>
          <w:szCs w:val="24"/>
          <w:lang w:val="tr-TR"/>
        </w:rPr>
        <w:sectPr w:rsidR="008E2DC1" w:rsidRPr="008E7BB7">
          <w:pgSz w:w="11906" w:h="16838"/>
          <w:pgMar w:top="1417" w:right="1417" w:bottom="1417" w:left="1417" w:header="708" w:footer="708" w:gutter="0"/>
          <w:cols w:space="708"/>
          <w:docGrid w:linePitch="360"/>
        </w:sectPr>
      </w:pPr>
    </w:p>
    <w:p w:rsidR="00FB5E6F" w:rsidRPr="008E7BB7" w:rsidRDefault="00C97C88" w:rsidP="00244917">
      <w:pPr>
        <w:spacing w:after="0" w:line="240" w:lineRule="auto"/>
        <w:ind w:firstLine="360"/>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lastRenderedPageBreak/>
        <w:t>2021</w:t>
      </w:r>
      <w:r w:rsidR="001D4DE7" w:rsidRPr="008E7BB7">
        <w:rPr>
          <w:rFonts w:ascii="Times New Roman" w:hAnsi="Times New Roman" w:cs="Times New Roman"/>
          <w:b/>
          <w:color w:val="C00000"/>
          <w:sz w:val="24"/>
          <w:szCs w:val="24"/>
          <w:lang w:val="tr-TR"/>
        </w:rPr>
        <w:t xml:space="preserve"> </w:t>
      </w:r>
      <w:r w:rsidR="00833D4E" w:rsidRPr="008E7BB7">
        <w:rPr>
          <w:rFonts w:ascii="Times New Roman" w:hAnsi="Times New Roman" w:cs="Times New Roman"/>
          <w:b/>
          <w:color w:val="C00000"/>
          <w:sz w:val="24"/>
          <w:szCs w:val="24"/>
          <w:lang w:val="tr-TR"/>
        </w:rPr>
        <w:t xml:space="preserve">YILI </w:t>
      </w:r>
      <w:r w:rsidR="00B330A2" w:rsidRPr="008E7BB7">
        <w:rPr>
          <w:rFonts w:ascii="Times New Roman" w:hAnsi="Times New Roman" w:cs="Times New Roman"/>
          <w:b/>
          <w:color w:val="C00000"/>
          <w:sz w:val="24"/>
          <w:szCs w:val="24"/>
          <w:lang w:val="tr-TR"/>
        </w:rPr>
        <w:t>ÜÇÜNCÜ</w:t>
      </w:r>
      <w:r w:rsidR="00191CB0" w:rsidRPr="008E7BB7">
        <w:rPr>
          <w:rFonts w:ascii="Times New Roman" w:hAnsi="Times New Roman" w:cs="Times New Roman"/>
          <w:b/>
          <w:color w:val="C00000"/>
          <w:sz w:val="24"/>
          <w:szCs w:val="24"/>
          <w:lang w:val="tr-TR"/>
        </w:rPr>
        <w:t xml:space="preserve"> </w:t>
      </w:r>
      <w:r w:rsidR="007C1122" w:rsidRPr="008E7BB7">
        <w:rPr>
          <w:rFonts w:ascii="Times New Roman" w:hAnsi="Times New Roman" w:cs="Times New Roman"/>
          <w:b/>
          <w:color w:val="C00000"/>
          <w:sz w:val="24"/>
          <w:szCs w:val="24"/>
          <w:lang w:val="tr-TR"/>
        </w:rPr>
        <w:t>ÜÇ</w:t>
      </w:r>
      <w:r w:rsidR="002C76BA" w:rsidRPr="008E7BB7">
        <w:rPr>
          <w:rFonts w:ascii="Times New Roman" w:hAnsi="Times New Roman" w:cs="Times New Roman"/>
          <w:b/>
          <w:color w:val="C00000"/>
          <w:sz w:val="24"/>
          <w:szCs w:val="24"/>
          <w:lang w:val="tr-TR"/>
        </w:rPr>
        <w:t xml:space="preserve"> AYINA İLİŞKİN VERİLER VE DEĞERLENDİRME</w:t>
      </w:r>
    </w:p>
    <w:p w:rsidR="009909A8" w:rsidRPr="008E7BB7" w:rsidRDefault="009909A8" w:rsidP="00244917">
      <w:pPr>
        <w:spacing w:after="0" w:line="240" w:lineRule="auto"/>
        <w:rPr>
          <w:rFonts w:ascii="Times New Roman" w:hAnsi="Times New Roman" w:cs="Times New Roman"/>
          <w:b/>
          <w:color w:val="C00000"/>
          <w:sz w:val="24"/>
          <w:szCs w:val="24"/>
          <w:lang w:val="tr-TR"/>
        </w:rPr>
      </w:pPr>
    </w:p>
    <w:p w:rsidR="00122473" w:rsidRPr="008E7BB7" w:rsidRDefault="00122473" w:rsidP="00244917">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GENEL DEĞERLENDİRME</w:t>
      </w:r>
    </w:p>
    <w:p w:rsidR="002F27D9" w:rsidRPr="008E7BB7" w:rsidRDefault="002F27D9" w:rsidP="00244917">
      <w:pPr>
        <w:spacing w:after="0" w:line="240" w:lineRule="auto"/>
        <w:ind w:left="360"/>
        <w:jc w:val="both"/>
        <w:rPr>
          <w:rFonts w:ascii="Times New Roman" w:hAnsi="Times New Roman" w:cs="Times New Roman"/>
          <w:b/>
          <w:color w:val="C00000"/>
          <w:sz w:val="24"/>
          <w:szCs w:val="24"/>
          <w:lang w:val="tr-TR"/>
        </w:rPr>
      </w:pPr>
    </w:p>
    <w:p w:rsidR="0011125B" w:rsidRPr="008E7BB7" w:rsidRDefault="000871C1" w:rsidP="00244917">
      <w:pPr>
        <w:spacing w:after="0" w:line="240" w:lineRule="auto"/>
        <w:jc w:val="both"/>
        <w:rPr>
          <w:rFonts w:ascii="Times New Roman" w:hAnsi="Times New Roman" w:cs="Times New Roman"/>
          <w:sz w:val="24"/>
          <w:szCs w:val="24"/>
          <w:lang w:val="tr-TR"/>
        </w:rPr>
      </w:pPr>
      <w:r w:rsidRPr="008E7BB7">
        <w:rPr>
          <w:noProof/>
          <w:lang w:val="tr-TR" w:eastAsia="tr-TR"/>
        </w:rPr>
        <w:drawing>
          <wp:anchor distT="0" distB="0" distL="114300" distR="114300" simplePos="0" relativeHeight="251658240" behindDoc="0" locked="0" layoutInCell="1" allowOverlap="1" wp14:anchorId="021FE8BC">
            <wp:simplePos x="0" y="0"/>
            <wp:positionH relativeFrom="margin">
              <wp:align>left</wp:align>
            </wp:positionH>
            <wp:positionV relativeFrom="paragraph">
              <wp:posOffset>5080</wp:posOffset>
            </wp:positionV>
            <wp:extent cx="2865755" cy="2822575"/>
            <wp:effectExtent l="0" t="0" r="10795" b="15875"/>
            <wp:wrapSquare wrapText="bothSides"/>
            <wp:docPr id="5" name="Grafik 5">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C97C88" w:rsidRPr="008E7BB7">
        <w:rPr>
          <w:rFonts w:ascii="Times New Roman" w:hAnsi="Times New Roman" w:cs="Times New Roman"/>
          <w:sz w:val="24"/>
          <w:szCs w:val="24"/>
          <w:lang w:val="tr-TR"/>
        </w:rPr>
        <w:t>Bahsi geçen 5</w:t>
      </w:r>
      <w:r w:rsidR="008B2B4E" w:rsidRPr="008E7BB7">
        <w:rPr>
          <w:rFonts w:ascii="Times New Roman" w:hAnsi="Times New Roman" w:cs="Times New Roman"/>
          <w:sz w:val="24"/>
          <w:szCs w:val="24"/>
          <w:lang w:val="tr-TR"/>
        </w:rPr>
        <w:t xml:space="preserve"> </w:t>
      </w:r>
      <w:r w:rsidR="00873A82" w:rsidRPr="008E7BB7">
        <w:rPr>
          <w:rFonts w:ascii="Times New Roman" w:hAnsi="Times New Roman" w:cs="Times New Roman"/>
          <w:sz w:val="24"/>
          <w:szCs w:val="24"/>
          <w:lang w:val="tr-TR"/>
        </w:rPr>
        <w:t xml:space="preserve">PGD kuruluşu tarafından denetlenen toplam ürün parti sayısının </w:t>
      </w:r>
      <w:r w:rsidR="0089221D" w:rsidRPr="008E7BB7">
        <w:rPr>
          <w:rFonts w:ascii="Times New Roman" w:hAnsi="Times New Roman" w:cs="Times New Roman"/>
          <w:b/>
          <w:sz w:val="24"/>
          <w:szCs w:val="24"/>
          <w:lang w:val="tr-TR"/>
        </w:rPr>
        <w:t>13.034</w:t>
      </w:r>
      <w:r w:rsidR="00873A82" w:rsidRPr="008E7BB7">
        <w:rPr>
          <w:rFonts w:ascii="Times New Roman" w:hAnsi="Times New Roman" w:cs="Times New Roman"/>
          <w:sz w:val="24"/>
          <w:szCs w:val="24"/>
          <w:lang w:val="tr-TR"/>
        </w:rPr>
        <w:t xml:space="preserve"> olduğu tespit edilmiştir. </w:t>
      </w:r>
      <w:r w:rsidR="0089221D" w:rsidRPr="008E7BB7">
        <w:rPr>
          <w:rFonts w:ascii="Times New Roman" w:hAnsi="Times New Roman" w:cs="Times New Roman"/>
          <w:sz w:val="24"/>
          <w:szCs w:val="24"/>
          <w:lang w:val="tr-TR"/>
        </w:rPr>
        <w:t>636</w:t>
      </w:r>
      <w:r w:rsidR="002E778C" w:rsidRPr="008E7BB7">
        <w:rPr>
          <w:rFonts w:ascii="Times New Roman" w:hAnsi="Times New Roman" w:cs="Times New Roman"/>
          <w:sz w:val="24"/>
          <w:szCs w:val="24"/>
          <w:lang w:val="tr-TR"/>
        </w:rPr>
        <w:t xml:space="preserve"> ürün partisinin</w:t>
      </w:r>
      <w:r w:rsidR="00817C37" w:rsidRPr="008E7BB7">
        <w:rPr>
          <w:rFonts w:ascii="Times New Roman" w:hAnsi="Times New Roman" w:cs="Times New Roman"/>
          <w:sz w:val="24"/>
          <w:szCs w:val="24"/>
          <w:lang w:val="tr-TR"/>
        </w:rPr>
        <w:t xml:space="preserve"> test/deney süreci devam ettiği için denetim</w:t>
      </w:r>
      <w:r w:rsidR="008E2DC1" w:rsidRPr="008E7BB7">
        <w:rPr>
          <w:rFonts w:ascii="Times New Roman" w:hAnsi="Times New Roman" w:cs="Times New Roman"/>
          <w:sz w:val="24"/>
          <w:szCs w:val="24"/>
          <w:lang w:val="tr-TR"/>
        </w:rPr>
        <w:t>i</w:t>
      </w:r>
      <w:r w:rsidR="007F1F49" w:rsidRPr="008E7BB7">
        <w:rPr>
          <w:rFonts w:ascii="Times New Roman" w:hAnsi="Times New Roman" w:cs="Times New Roman"/>
          <w:sz w:val="24"/>
          <w:szCs w:val="24"/>
          <w:lang w:val="tr-TR"/>
        </w:rPr>
        <w:t xml:space="preserve"> henüz </w:t>
      </w:r>
      <w:r w:rsidR="00817C37" w:rsidRPr="008E7BB7">
        <w:rPr>
          <w:rFonts w:ascii="Times New Roman" w:hAnsi="Times New Roman" w:cs="Times New Roman"/>
          <w:sz w:val="24"/>
          <w:szCs w:val="24"/>
          <w:lang w:val="tr-TR"/>
        </w:rPr>
        <w:t>sonuçlandırılamamıştır.</w:t>
      </w:r>
      <w:r w:rsidR="007F1F49" w:rsidRPr="008E7BB7">
        <w:rPr>
          <w:rFonts w:ascii="Times New Roman" w:hAnsi="Times New Roman" w:cs="Times New Roman"/>
          <w:sz w:val="24"/>
          <w:szCs w:val="24"/>
          <w:lang w:val="tr-TR"/>
        </w:rPr>
        <w:t xml:space="preserve"> </w:t>
      </w:r>
      <w:r w:rsidR="008E2DC1" w:rsidRPr="008E7BB7">
        <w:rPr>
          <w:rFonts w:ascii="Times New Roman" w:hAnsi="Times New Roman" w:cs="Times New Roman"/>
          <w:sz w:val="24"/>
          <w:szCs w:val="24"/>
          <w:lang w:val="tr-TR"/>
        </w:rPr>
        <w:t>Denetlenen</w:t>
      </w:r>
      <w:r w:rsidR="007F1F49" w:rsidRPr="008E7BB7">
        <w:rPr>
          <w:rFonts w:ascii="Times New Roman" w:hAnsi="Times New Roman" w:cs="Times New Roman"/>
          <w:sz w:val="24"/>
          <w:szCs w:val="24"/>
          <w:lang w:val="tr-TR"/>
        </w:rPr>
        <w:t xml:space="preserve"> </w:t>
      </w:r>
      <w:r w:rsidR="008E2DC1" w:rsidRPr="008E7BB7">
        <w:rPr>
          <w:rFonts w:ascii="Times New Roman" w:hAnsi="Times New Roman" w:cs="Times New Roman"/>
          <w:sz w:val="24"/>
          <w:szCs w:val="24"/>
          <w:lang w:val="tr-TR"/>
        </w:rPr>
        <w:t>ürünlerden</w:t>
      </w:r>
      <w:r w:rsidR="007F1F49" w:rsidRPr="008E7BB7">
        <w:rPr>
          <w:rFonts w:ascii="Times New Roman" w:hAnsi="Times New Roman" w:cs="Times New Roman"/>
          <w:sz w:val="24"/>
          <w:szCs w:val="24"/>
          <w:lang w:val="tr-TR"/>
        </w:rPr>
        <w:t xml:space="preserve"> </w:t>
      </w:r>
      <w:r w:rsidR="0089221D" w:rsidRPr="008E7BB7">
        <w:rPr>
          <w:rFonts w:ascii="Times New Roman" w:hAnsi="Times New Roman" w:cs="Times New Roman"/>
          <w:sz w:val="24"/>
          <w:szCs w:val="24"/>
          <w:lang w:val="tr-TR"/>
        </w:rPr>
        <w:t>11.786</w:t>
      </w:r>
      <w:r w:rsidR="007F1F49" w:rsidRPr="008E7BB7">
        <w:rPr>
          <w:rFonts w:ascii="Times New Roman" w:hAnsi="Times New Roman" w:cs="Times New Roman"/>
          <w:sz w:val="24"/>
          <w:szCs w:val="24"/>
          <w:lang w:val="tr-TR"/>
        </w:rPr>
        <w:t xml:space="preserve"> </w:t>
      </w:r>
      <w:r w:rsidR="008E2DC1" w:rsidRPr="008E7BB7">
        <w:rPr>
          <w:rFonts w:ascii="Times New Roman" w:hAnsi="Times New Roman" w:cs="Times New Roman"/>
          <w:sz w:val="24"/>
          <w:szCs w:val="24"/>
          <w:lang w:val="tr-TR"/>
        </w:rPr>
        <w:t>parti</w:t>
      </w:r>
      <w:r w:rsidR="007F1F49" w:rsidRPr="008E7BB7">
        <w:rPr>
          <w:rFonts w:ascii="Times New Roman" w:hAnsi="Times New Roman" w:cs="Times New Roman"/>
          <w:sz w:val="24"/>
          <w:szCs w:val="24"/>
          <w:lang w:val="tr-TR"/>
        </w:rPr>
        <w:t xml:space="preserve"> </w:t>
      </w:r>
      <w:r w:rsidR="008E2DC1" w:rsidRPr="008E7BB7">
        <w:rPr>
          <w:rFonts w:ascii="Times New Roman" w:hAnsi="Times New Roman" w:cs="Times New Roman"/>
          <w:sz w:val="24"/>
          <w:szCs w:val="24"/>
          <w:lang w:val="tr-TR"/>
        </w:rPr>
        <w:t>ürün</w:t>
      </w:r>
      <w:r w:rsidR="007F1F49" w:rsidRPr="008E7BB7">
        <w:rPr>
          <w:rFonts w:ascii="Times New Roman" w:hAnsi="Times New Roman" w:cs="Times New Roman"/>
          <w:sz w:val="24"/>
          <w:szCs w:val="24"/>
          <w:lang w:val="tr-TR"/>
        </w:rPr>
        <w:t xml:space="preserve"> </w:t>
      </w:r>
      <w:r w:rsidR="008E2DC1" w:rsidRPr="008E7BB7">
        <w:rPr>
          <w:rFonts w:ascii="Times New Roman" w:hAnsi="Times New Roman" w:cs="Times New Roman"/>
          <w:sz w:val="24"/>
          <w:szCs w:val="24"/>
          <w:lang w:val="tr-TR"/>
        </w:rPr>
        <w:t>uygun</w:t>
      </w:r>
      <w:r w:rsidR="007F1F49" w:rsidRPr="008E7BB7">
        <w:rPr>
          <w:rFonts w:ascii="Times New Roman" w:hAnsi="Times New Roman" w:cs="Times New Roman"/>
          <w:sz w:val="24"/>
          <w:szCs w:val="24"/>
          <w:lang w:val="tr-TR"/>
        </w:rPr>
        <w:t xml:space="preserve"> </w:t>
      </w:r>
      <w:r w:rsidR="008E2DC1" w:rsidRPr="008E7BB7">
        <w:rPr>
          <w:rFonts w:ascii="Times New Roman" w:hAnsi="Times New Roman" w:cs="Times New Roman"/>
          <w:sz w:val="24"/>
          <w:szCs w:val="24"/>
          <w:lang w:val="tr-TR"/>
        </w:rPr>
        <w:t>bulunmuştur.</w:t>
      </w:r>
    </w:p>
    <w:p w:rsidR="007F1F49" w:rsidRPr="008E7BB7" w:rsidRDefault="007F1F49" w:rsidP="00244917">
      <w:pPr>
        <w:spacing w:after="0" w:line="240" w:lineRule="auto"/>
        <w:jc w:val="both"/>
        <w:rPr>
          <w:rFonts w:ascii="Times New Roman" w:hAnsi="Times New Roman" w:cs="Times New Roman"/>
          <w:sz w:val="24"/>
          <w:szCs w:val="24"/>
          <w:lang w:val="tr-TR"/>
        </w:rPr>
      </w:pPr>
    </w:p>
    <w:p w:rsidR="00E737E7" w:rsidRPr="008E7BB7" w:rsidRDefault="008E2DC1"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PGD k</w:t>
      </w:r>
      <w:r w:rsidR="00873A82" w:rsidRPr="008E7BB7">
        <w:rPr>
          <w:rFonts w:ascii="Times New Roman" w:hAnsi="Times New Roman" w:cs="Times New Roman"/>
          <w:sz w:val="24"/>
          <w:szCs w:val="24"/>
          <w:lang w:val="tr-TR"/>
        </w:rPr>
        <w:t>uruluşlarınca denetlenen toplam ürün partileri içerisinde</w:t>
      </w:r>
      <w:r w:rsidR="007F1F49" w:rsidRPr="008E7BB7">
        <w:rPr>
          <w:rFonts w:ascii="Times New Roman" w:hAnsi="Times New Roman" w:cs="Times New Roman"/>
          <w:sz w:val="24"/>
          <w:szCs w:val="24"/>
          <w:lang w:val="tr-TR"/>
        </w:rPr>
        <w:t xml:space="preserve"> </w:t>
      </w:r>
      <w:r w:rsidR="0089221D" w:rsidRPr="008E7BB7">
        <w:rPr>
          <w:rFonts w:ascii="Times New Roman" w:hAnsi="Times New Roman" w:cs="Times New Roman"/>
          <w:sz w:val="24"/>
          <w:szCs w:val="24"/>
          <w:lang w:val="tr-TR"/>
        </w:rPr>
        <w:t>60</w:t>
      </w:r>
      <w:r w:rsidR="00191CB0"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parti</w:t>
      </w:r>
      <w:r w:rsidR="00191CB0"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ürün</w:t>
      </w:r>
      <w:r w:rsidR="00191CB0" w:rsidRPr="008E7BB7">
        <w:rPr>
          <w:rFonts w:ascii="Times New Roman" w:hAnsi="Times New Roman" w:cs="Times New Roman"/>
          <w:sz w:val="24"/>
          <w:szCs w:val="24"/>
          <w:lang w:val="tr-TR"/>
        </w:rPr>
        <w:t xml:space="preserve"> güvensiz </w:t>
      </w:r>
      <w:r w:rsidRPr="008E7BB7">
        <w:rPr>
          <w:rFonts w:ascii="Times New Roman" w:hAnsi="Times New Roman" w:cs="Times New Roman"/>
          <w:sz w:val="24"/>
          <w:szCs w:val="24"/>
          <w:lang w:val="tr-TR"/>
        </w:rPr>
        <w:t>ve</w:t>
      </w:r>
      <w:r w:rsidR="007F1F49" w:rsidRPr="008E7BB7">
        <w:rPr>
          <w:rFonts w:ascii="Times New Roman" w:hAnsi="Times New Roman" w:cs="Times New Roman"/>
          <w:sz w:val="24"/>
          <w:szCs w:val="24"/>
          <w:lang w:val="tr-TR"/>
        </w:rPr>
        <w:t xml:space="preserve"> </w:t>
      </w:r>
      <w:r w:rsidR="0089221D" w:rsidRPr="008E7BB7">
        <w:rPr>
          <w:rFonts w:ascii="Times New Roman" w:hAnsi="Times New Roman" w:cs="Times New Roman"/>
          <w:sz w:val="24"/>
          <w:szCs w:val="24"/>
          <w:lang w:val="tr-TR"/>
        </w:rPr>
        <w:t>552</w:t>
      </w:r>
      <w:r w:rsidR="00191CB0" w:rsidRPr="008E7BB7">
        <w:rPr>
          <w:rFonts w:ascii="Times New Roman" w:hAnsi="Times New Roman" w:cs="Times New Roman"/>
          <w:sz w:val="24"/>
          <w:szCs w:val="24"/>
          <w:lang w:val="tr-TR"/>
        </w:rPr>
        <w:t xml:space="preserve"> </w:t>
      </w:r>
      <w:r w:rsidR="00843C0B" w:rsidRPr="008E7BB7">
        <w:rPr>
          <w:rFonts w:ascii="Times New Roman" w:hAnsi="Times New Roman" w:cs="Times New Roman"/>
          <w:sz w:val="24"/>
          <w:szCs w:val="24"/>
          <w:lang w:val="tr-TR"/>
        </w:rPr>
        <w:t>parti</w:t>
      </w:r>
      <w:r w:rsidR="00191CB0"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ürün</w:t>
      </w:r>
      <w:r w:rsidR="00191CB0"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uygunsuz</w:t>
      </w:r>
      <w:r w:rsidR="00191CB0"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olarak</w:t>
      </w:r>
      <w:r w:rsidR="00191CB0"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tespit</w:t>
      </w:r>
      <w:r w:rsidR="00191CB0"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edilmiş</w:t>
      </w:r>
      <w:r w:rsidR="00843C0B" w:rsidRPr="008E7BB7">
        <w:rPr>
          <w:rFonts w:ascii="Times New Roman" w:hAnsi="Times New Roman" w:cs="Times New Roman"/>
          <w:sz w:val="24"/>
          <w:szCs w:val="24"/>
          <w:lang w:val="tr-TR"/>
        </w:rPr>
        <w:t>tir. Denetlenen</w:t>
      </w:r>
      <w:r w:rsidR="00191CB0" w:rsidRPr="008E7BB7">
        <w:rPr>
          <w:rFonts w:ascii="Times New Roman" w:hAnsi="Times New Roman" w:cs="Times New Roman"/>
          <w:sz w:val="24"/>
          <w:szCs w:val="24"/>
          <w:lang w:val="tr-TR"/>
        </w:rPr>
        <w:t xml:space="preserve"> </w:t>
      </w:r>
      <w:r w:rsidR="00843C0B" w:rsidRPr="008E7BB7">
        <w:rPr>
          <w:rFonts w:ascii="Times New Roman" w:hAnsi="Times New Roman" w:cs="Times New Roman"/>
          <w:sz w:val="24"/>
          <w:szCs w:val="24"/>
          <w:lang w:val="tr-TR"/>
        </w:rPr>
        <w:t>ürünlerde</w:t>
      </w:r>
      <w:r w:rsidR="00191CB0"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uygunsuz</w:t>
      </w:r>
      <w:r w:rsidR="00843C0B" w:rsidRPr="008E7BB7">
        <w:rPr>
          <w:rFonts w:ascii="Times New Roman" w:hAnsi="Times New Roman" w:cs="Times New Roman"/>
          <w:sz w:val="24"/>
          <w:szCs w:val="24"/>
          <w:lang w:val="tr-TR"/>
        </w:rPr>
        <w:t xml:space="preserve"> bulunan ürün partilerinin oranı %</w:t>
      </w:r>
      <w:r w:rsidR="0089221D" w:rsidRPr="008E7BB7">
        <w:rPr>
          <w:rFonts w:ascii="Times New Roman" w:hAnsi="Times New Roman" w:cs="Times New Roman"/>
          <w:sz w:val="24"/>
          <w:szCs w:val="24"/>
          <w:lang w:val="tr-TR"/>
        </w:rPr>
        <w:t>4,2</w:t>
      </w:r>
      <w:r w:rsidR="00191CB0" w:rsidRPr="008E7BB7">
        <w:rPr>
          <w:rFonts w:ascii="Times New Roman" w:hAnsi="Times New Roman" w:cs="Times New Roman"/>
          <w:sz w:val="24"/>
          <w:szCs w:val="24"/>
          <w:lang w:val="tr-TR"/>
        </w:rPr>
        <w:t xml:space="preserve"> </w:t>
      </w:r>
      <w:r w:rsidR="001803AF" w:rsidRPr="008E7BB7">
        <w:rPr>
          <w:rFonts w:ascii="Times New Roman" w:hAnsi="Times New Roman" w:cs="Times New Roman"/>
          <w:sz w:val="24"/>
          <w:szCs w:val="24"/>
          <w:lang w:val="tr-TR"/>
        </w:rPr>
        <w:t>ik</w:t>
      </w:r>
      <w:r w:rsidR="00843C0B" w:rsidRPr="008E7BB7">
        <w:rPr>
          <w:rFonts w:ascii="Times New Roman" w:hAnsi="Times New Roman" w:cs="Times New Roman"/>
          <w:sz w:val="24"/>
          <w:szCs w:val="24"/>
          <w:lang w:val="tr-TR"/>
        </w:rPr>
        <w:t>e</w:t>
      </w:r>
      <w:r w:rsidR="001803AF" w:rsidRPr="008E7BB7">
        <w:rPr>
          <w:rFonts w:ascii="Times New Roman" w:hAnsi="Times New Roman" w:cs="Times New Roman"/>
          <w:sz w:val="24"/>
          <w:szCs w:val="24"/>
          <w:lang w:val="tr-TR"/>
        </w:rPr>
        <w:t>n</w:t>
      </w:r>
      <w:r w:rsidR="00191CB0" w:rsidRPr="008E7BB7">
        <w:rPr>
          <w:rFonts w:ascii="Times New Roman" w:hAnsi="Times New Roman" w:cs="Times New Roman"/>
          <w:sz w:val="24"/>
          <w:szCs w:val="24"/>
          <w:lang w:val="tr-TR"/>
        </w:rPr>
        <w:t xml:space="preserve"> </w:t>
      </w:r>
      <w:r w:rsidR="00843C0B" w:rsidRPr="008E7BB7">
        <w:rPr>
          <w:rFonts w:ascii="Times New Roman" w:hAnsi="Times New Roman" w:cs="Times New Roman"/>
          <w:b/>
          <w:sz w:val="24"/>
          <w:szCs w:val="24"/>
          <w:lang w:val="tr-TR"/>
        </w:rPr>
        <w:t xml:space="preserve">güvensiz bulunan </w:t>
      </w:r>
      <w:r w:rsidRPr="008E7BB7">
        <w:rPr>
          <w:rFonts w:ascii="Times New Roman" w:hAnsi="Times New Roman" w:cs="Times New Roman"/>
          <w:b/>
          <w:sz w:val="24"/>
          <w:szCs w:val="24"/>
          <w:lang w:val="tr-TR"/>
        </w:rPr>
        <w:t>ürün partilerinin toplam</w:t>
      </w:r>
      <w:r w:rsidR="00873A82" w:rsidRPr="008E7BB7">
        <w:rPr>
          <w:rFonts w:ascii="Times New Roman" w:hAnsi="Times New Roman" w:cs="Times New Roman"/>
          <w:b/>
          <w:sz w:val="24"/>
          <w:szCs w:val="24"/>
          <w:lang w:val="tr-TR"/>
        </w:rPr>
        <w:t xml:space="preserve"> oranı </w:t>
      </w:r>
      <w:r w:rsidR="00843C0B" w:rsidRPr="008E7BB7">
        <w:rPr>
          <w:rFonts w:ascii="Times New Roman" w:hAnsi="Times New Roman" w:cs="Times New Roman"/>
          <w:b/>
          <w:sz w:val="24"/>
          <w:szCs w:val="24"/>
          <w:lang w:val="tr-TR"/>
        </w:rPr>
        <w:t xml:space="preserve">yalnızca </w:t>
      </w:r>
      <w:r w:rsidR="00AA6201" w:rsidRPr="008E7BB7">
        <w:rPr>
          <w:rFonts w:ascii="Times New Roman" w:hAnsi="Times New Roman" w:cs="Times New Roman"/>
          <w:b/>
          <w:sz w:val="24"/>
          <w:szCs w:val="24"/>
          <w:lang w:val="tr-TR"/>
        </w:rPr>
        <w:t>%</w:t>
      </w:r>
      <w:r w:rsidR="00415DE6" w:rsidRPr="008E7BB7">
        <w:rPr>
          <w:rFonts w:ascii="Times New Roman" w:hAnsi="Times New Roman" w:cs="Times New Roman"/>
          <w:b/>
          <w:sz w:val="24"/>
          <w:szCs w:val="24"/>
          <w:lang w:val="tr-TR"/>
        </w:rPr>
        <w:t>0</w:t>
      </w:r>
      <w:r w:rsidR="00C7494D" w:rsidRPr="008E7BB7">
        <w:rPr>
          <w:rFonts w:ascii="Times New Roman" w:hAnsi="Times New Roman" w:cs="Times New Roman"/>
          <w:b/>
          <w:sz w:val="24"/>
          <w:szCs w:val="24"/>
          <w:lang w:val="tr-TR"/>
        </w:rPr>
        <w:t>,</w:t>
      </w:r>
      <w:r w:rsidR="0089221D" w:rsidRPr="008E7BB7">
        <w:rPr>
          <w:rFonts w:ascii="Times New Roman" w:hAnsi="Times New Roman" w:cs="Times New Roman"/>
          <w:b/>
          <w:sz w:val="24"/>
          <w:szCs w:val="24"/>
          <w:lang w:val="tr-TR"/>
        </w:rPr>
        <w:t>5</w:t>
      </w:r>
      <w:r w:rsidR="00191CB0" w:rsidRPr="008E7BB7">
        <w:rPr>
          <w:rFonts w:ascii="Times New Roman" w:hAnsi="Times New Roman" w:cs="Times New Roman"/>
          <w:b/>
          <w:sz w:val="24"/>
          <w:szCs w:val="24"/>
          <w:lang w:val="tr-TR"/>
        </w:rPr>
        <w:t xml:space="preserve"> </w:t>
      </w:r>
      <w:r w:rsidR="00AA6201" w:rsidRPr="008E7BB7">
        <w:rPr>
          <w:rFonts w:ascii="Times New Roman" w:hAnsi="Times New Roman" w:cs="Times New Roman"/>
          <w:b/>
          <w:sz w:val="24"/>
          <w:szCs w:val="24"/>
          <w:lang w:val="tr-TR"/>
        </w:rPr>
        <w:t>olarak gerçekleşmiştir.</w:t>
      </w:r>
    </w:p>
    <w:p w:rsidR="00420F04" w:rsidRPr="008E7BB7" w:rsidRDefault="00420F04" w:rsidP="00244917">
      <w:pPr>
        <w:spacing w:after="0" w:line="240" w:lineRule="auto"/>
        <w:jc w:val="both"/>
        <w:rPr>
          <w:rFonts w:ascii="Times New Roman" w:hAnsi="Times New Roman" w:cs="Times New Roman"/>
          <w:sz w:val="24"/>
          <w:szCs w:val="24"/>
          <w:lang w:val="tr-TR"/>
        </w:rPr>
      </w:pPr>
    </w:p>
    <w:p w:rsidR="00E737E7" w:rsidRPr="008E7BB7" w:rsidRDefault="00E737E7" w:rsidP="00244917">
      <w:pPr>
        <w:spacing w:after="0" w:line="240" w:lineRule="auto"/>
        <w:jc w:val="both"/>
        <w:rPr>
          <w:rFonts w:ascii="Times New Roman" w:hAnsi="Times New Roman" w:cs="Times New Roman"/>
          <w:sz w:val="24"/>
          <w:szCs w:val="24"/>
          <w:lang w:val="tr-TR"/>
        </w:rPr>
      </w:pPr>
    </w:p>
    <w:p w:rsidR="00A8058C" w:rsidRPr="008E7BB7" w:rsidRDefault="00B330A2" w:rsidP="00244917">
      <w:pPr>
        <w:spacing w:after="0" w:line="240" w:lineRule="auto"/>
        <w:jc w:val="both"/>
        <w:rPr>
          <w:noProof/>
          <w:lang w:val="tr-TR" w:eastAsia="tr-TR"/>
        </w:rPr>
      </w:pPr>
      <w:r w:rsidRPr="008E7BB7">
        <w:rPr>
          <w:noProof/>
          <w:lang w:val="tr-TR" w:eastAsia="tr-TR"/>
        </w:rPr>
        <w:drawing>
          <wp:inline distT="0" distB="0" distL="0" distR="0" wp14:anchorId="4BA6BDB0" wp14:editId="0AC6D091">
            <wp:extent cx="5756745" cy="4606925"/>
            <wp:effectExtent l="0" t="0" r="15875" b="3175"/>
            <wp:docPr id="8" name="Grafik 8">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494D" w:rsidRPr="008E7BB7" w:rsidRDefault="00C7494D" w:rsidP="00244917">
      <w:pPr>
        <w:spacing w:after="0" w:line="240" w:lineRule="auto"/>
        <w:jc w:val="both"/>
        <w:rPr>
          <w:noProof/>
          <w:lang w:val="tr-TR" w:eastAsia="tr-TR"/>
        </w:rPr>
      </w:pPr>
    </w:p>
    <w:p w:rsidR="00843C0B" w:rsidRPr="008E7BB7" w:rsidRDefault="00B330A2" w:rsidP="00244917">
      <w:pPr>
        <w:spacing w:after="0" w:line="240" w:lineRule="auto"/>
        <w:jc w:val="both"/>
        <w:rPr>
          <w:noProof/>
          <w:lang w:val="tr-TR" w:eastAsia="tr-TR"/>
        </w:rPr>
      </w:pPr>
      <w:r w:rsidRPr="008E7BB7">
        <w:rPr>
          <w:noProof/>
          <w:lang w:val="tr-TR" w:eastAsia="tr-TR"/>
        </w:rPr>
        <w:lastRenderedPageBreak/>
        <w:drawing>
          <wp:inline distT="0" distB="0" distL="0" distR="0" wp14:anchorId="025D1DAC" wp14:editId="685EE34B">
            <wp:extent cx="5740841" cy="3876675"/>
            <wp:effectExtent l="57150" t="57150" r="50800" b="47625"/>
            <wp:docPr id="9" name="Grafik 9">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3C0B" w:rsidRPr="008E7BB7" w:rsidRDefault="00843C0B" w:rsidP="00244917">
      <w:pPr>
        <w:spacing w:after="0" w:line="240" w:lineRule="auto"/>
        <w:jc w:val="both"/>
        <w:rPr>
          <w:rFonts w:ascii="Times New Roman" w:hAnsi="Times New Roman" w:cs="Times New Roman"/>
          <w:b/>
          <w:sz w:val="24"/>
          <w:szCs w:val="24"/>
          <w:lang w:val="tr-TR"/>
        </w:rPr>
      </w:pPr>
    </w:p>
    <w:p w:rsidR="004118AC" w:rsidRPr="008E7BB7" w:rsidRDefault="009536D3"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sz w:val="24"/>
          <w:szCs w:val="24"/>
          <w:lang w:val="tr-TR"/>
        </w:rPr>
        <w:t xml:space="preserve">İlgili dönemde </w:t>
      </w:r>
      <w:r w:rsidR="00506B5D" w:rsidRPr="008E7BB7">
        <w:rPr>
          <w:rFonts w:ascii="Times New Roman" w:hAnsi="Times New Roman" w:cs="Times New Roman"/>
          <w:sz w:val="24"/>
          <w:szCs w:val="24"/>
          <w:lang w:val="tr-TR"/>
        </w:rPr>
        <w:t>877</w:t>
      </w:r>
      <w:r w:rsidRPr="008E7BB7">
        <w:rPr>
          <w:rFonts w:ascii="Times New Roman" w:hAnsi="Times New Roman" w:cs="Times New Roman"/>
          <w:sz w:val="24"/>
          <w:szCs w:val="24"/>
          <w:lang w:val="tr-TR"/>
        </w:rPr>
        <w:t xml:space="preserve"> ithal ürün partisi denetlenmiş, </w:t>
      </w:r>
      <w:r w:rsidR="00C7494D" w:rsidRPr="008E7BB7">
        <w:rPr>
          <w:rFonts w:ascii="Times New Roman" w:hAnsi="Times New Roman" w:cs="Times New Roman"/>
          <w:color w:val="000000" w:themeColor="text1"/>
          <w:sz w:val="24"/>
          <w:szCs w:val="24"/>
          <w:lang w:val="tr-TR"/>
        </w:rPr>
        <w:t>bunların %</w:t>
      </w:r>
      <w:r w:rsidR="00506B5D" w:rsidRPr="008E7BB7">
        <w:rPr>
          <w:rFonts w:ascii="Times New Roman" w:hAnsi="Times New Roman" w:cs="Times New Roman"/>
          <w:color w:val="000000" w:themeColor="text1"/>
          <w:sz w:val="24"/>
          <w:szCs w:val="24"/>
          <w:lang w:val="tr-TR"/>
        </w:rPr>
        <w:t>2</w:t>
      </w:r>
      <w:r w:rsidR="00C7494D" w:rsidRPr="008E7BB7">
        <w:rPr>
          <w:rFonts w:ascii="Times New Roman" w:hAnsi="Times New Roman" w:cs="Times New Roman"/>
          <w:color w:val="000000" w:themeColor="text1"/>
          <w:sz w:val="24"/>
          <w:szCs w:val="24"/>
          <w:lang w:val="tr-TR"/>
        </w:rPr>
        <w:t>,</w:t>
      </w:r>
      <w:r w:rsidR="00506B5D" w:rsidRPr="008E7BB7">
        <w:rPr>
          <w:rFonts w:ascii="Times New Roman" w:hAnsi="Times New Roman" w:cs="Times New Roman"/>
          <w:color w:val="000000" w:themeColor="text1"/>
          <w:sz w:val="24"/>
          <w:szCs w:val="24"/>
          <w:lang w:val="tr-TR"/>
        </w:rPr>
        <w:t>5</w:t>
      </w:r>
      <w:r w:rsidR="00C7494D" w:rsidRPr="008E7BB7">
        <w:rPr>
          <w:rFonts w:ascii="Times New Roman" w:hAnsi="Times New Roman" w:cs="Times New Roman"/>
          <w:color w:val="000000" w:themeColor="text1"/>
          <w:sz w:val="24"/>
          <w:szCs w:val="24"/>
          <w:lang w:val="tr-TR"/>
        </w:rPr>
        <w:t>’</w:t>
      </w:r>
      <w:r w:rsidR="00506B5D" w:rsidRPr="008E7BB7">
        <w:rPr>
          <w:rFonts w:ascii="Times New Roman" w:hAnsi="Times New Roman" w:cs="Times New Roman"/>
          <w:color w:val="000000" w:themeColor="text1"/>
          <w:sz w:val="24"/>
          <w:szCs w:val="24"/>
          <w:lang w:val="tr-TR"/>
        </w:rPr>
        <w:t>i</w:t>
      </w:r>
      <w:r w:rsidR="008B2B4E" w:rsidRPr="008E7BB7">
        <w:rPr>
          <w:rFonts w:ascii="Times New Roman" w:hAnsi="Times New Roman" w:cs="Times New Roman"/>
          <w:color w:val="000000" w:themeColor="text1"/>
          <w:sz w:val="24"/>
          <w:szCs w:val="24"/>
          <w:lang w:val="tr-TR"/>
        </w:rPr>
        <w:t xml:space="preserve"> </w:t>
      </w:r>
      <w:r w:rsidRPr="008E7BB7">
        <w:rPr>
          <w:rFonts w:ascii="Times New Roman" w:hAnsi="Times New Roman" w:cs="Times New Roman"/>
          <w:color w:val="000000" w:themeColor="text1"/>
          <w:sz w:val="24"/>
          <w:szCs w:val="24"/>
          <w:lang w:val="tr-TR"/>
        </w:rPr>
        <w:t>uygunsuz</w:t>
      </w:r>
      <w:r w:rsidR="00C7494D" w:rsidRPr="008E7BB7">
        <w:rPr>
          <w:rFonts w:ascii="Times New Roman" w:hAnsi="Times New Roman" w:cs="Times New Roman"/>
          <w:color w:val="000000" w:themeColor="text1"/>
          <w:sz w:val="24"/>
          <w:szCs w:val="24"/>
          <w:lang w:val="tr-TR"/>
        </w:rPr>
        <w:t>, %0,</w:t>
      </w:r>
      <w:r w:rsidR="00506B5D" w:rsidRPr="008E7BB7">
        <w:rPr>
          <w:rFonts w:ascii="Times New Roman" w:hAnsi="Times New Roman" w:cs="Times New Roman"/>
          <w:color w:val="000000" w:themeColor="text1"/>
          <w:sz w:val="24"/>
          <w:szCs w:val="24"/>
          <w:lang w:val="tr-TR"/>
        </w:rPr>
        <w:t>9</w:t>
      </w:r>
      <w:r w:rsidR="00D53031" w:rsidRPr="008E7BB7">
        <w:rPr>
          <w:rFonts w:ascii="Times New Roman" w:hAnsi="Times New Roman" w:cs="Times New Roman"/>
          <w:color w:val="000000" w:themeColor="text1"/>
          <w:sz w:val="24"/>
          <w:szCs w:val="24"/>
          <w:lang w:val="tr-TR"/>
        </w:rPr>
        <w:t>’</w:t>
      </w:r>
      <w:r w:rsidR="00506B5D" w:rsidRPr="008E7BB7">
        <w:rPr>
          <w:rFonts w:ascii="Times New Roman" w:hAnsi="Times New Roman" w:cs="Times New Roman"/>
          <w:color w:val="000000" w:themeColor="text1"/>
          <w:sz w:val="24"/>
          <w:szCs w:val="24"/>
          <w:lang w:val="tr-TR"/>
        </w:rPr>
        <w:t>u</w:t>
      </w:r>
      <w:r w:rsidR="00191CB0" w:rsidRPr="008E7BB7">
        <w:rPr>
          <w:rFonts w:ascii="Times New Roman" w:hAnsi="Times New Roman" w:cs="Times New Roman"/>
          <w:color w:val="000000" w:themeColor="text1"/>
          <w:sz w:val="24"/>
          <w:szCs w:val="24"/>
          <w:lang w:val="tr-TR"/>
        </w:rPr>
        <w:t xml:space="preserve"> güvensiz </w:t>
      </w:r>
      <w:r w:rsidRPr="008E7BB7">
        <w:rPr>
          <w:rFonts w:ascii="Times New Roman" w:hAnsi="Times New Roman" w:cs="Times New Roman"/>
          <w:color w:val="000000" w:themeColor="text1"/>
          <w:sz w:val="24"/>
          <w:szCs w:val="24"/>
          <w:lang w:val="tr-TR"/>
        </w:rPr>
        <w:t>bulunmuştur.</w:t>
      </w:r>
      <w:r w:rsidR="00191CB0" w:rsidRPr="008E7BB7">
        <w:rPr>
          <w:rFonts w:ascii="Times New Roman" w:hAnsi="Times New Roman" w:cs="Times New Roman"/>
          <w:color w:val="000000" w:themeColor="text1"/>
          <w:sz w:val="24"/>
          <w:szCs w:val="24"/>
          <w:lang w:val="tr-TR"/>
        </w:rPr>
        <w:t xml:space="preserve"> </w:t>
      </w:r>
      <w:r w:rsidR="00191CB0" w:rsidRPr="008E7BB7">
        <w:rPr>
          <w:rFonts w:ascii="Times New Roman" w:hAnsi="Times New Roman" w:cs="Times New Roman"/>
          <w:sz w:val="24"/>
          <w:szCs w:val="24"/>
          <w:lang w:val="tr-TR"/>
        </w:rPr>
        <w:t xml:space="preserve">Bununla birlikte, </w:t>
      </w:r>
      <w:r w:rsidR="00506B5D" w:rsidRPr="008E7BB7">
        <w:rPr>
          <w:rFonts w:ascii="Times New Roman" w:hAnsi="Times New Roman" w:cs="Times New Roman"/>
          <w:sz w:val="24"/>
          <w:szCs w:val="24"/>
          <w:lang w:val="tr-TR"/>
        </w:rPr>
        <w:t>12.157</w:t>
      </w:r>
      <w:r w:rsidR="004118AC" w:rsidRPr="008E7BB7">
        <w:rPr>
          <w:rFonts w:ascii="Times New Roman" w:hAnsi="Times New Roman" w:cs="Times New Roman"/>
          <w:sz w:val="24"/>
          <w:szCs w:val="24"/>
          <w:lang w:val="tr-TR"/>
        </w:rPr>
        <w:t xml:space="preserve"> yerli ürün partisi denetlenmiş,</w:t>
      </w:r>
      <w:r w:rsidR="00191CB0" w:rsidRPr="008E7BB7">
        <w:rPr>
          <w:rFonts w:ascii="Times New Roman" w:hAnsi="Times New Roman" w:cs="Times New Roman"/>
          <w:sz w:val="24"/>
          <w:szCs w:val="24"/>
          <w:lang w:val="tr-TR"/>
        </w:rPr>
        <w:t xml:space="preserve"> </w:t>
      </w:r>
      <w:r w:rsidR="004118AC" w:rsidRPr="008E7BB7">
        <w:rPr>
          <w:rFonts w:ascii="Times New Roman" w:hAnsi="Times New Roman" w:cs="Times New Roman"/>
          <w:sz w:val="24"/>
          <w:szCs w:val="24"/>
          <w:lang w:val="tr-TR"/>
        </w:rPr>
        <w:t>bunların %</w:t>
      </w:r>
      <w:r w:rsidR="00506B5D" w:rsidRPr="008E7BB7">
        <w:rPr>
          <w:rFonts w:ascii="Times New Roman" w:hAnsi="Times New Roman" w:cs="Times New Roman"/>
          <w:sz w:val="24"/>
          <w:szCs w:val="24"/>
          <w:lang w:val="tr-TR"/>
        </w:rPr>
        <w:t>4</w:t>
      </w:r>
      <w:r w:rsidR="00C7494D" w:rsidRPr="008E7BB7">
        <w:rPr>
          <w:rFonts w:ascii="Times New Roman" w:hAnsi="Times New Roman" w:cs="Times New Roman"/>
          <w:sz w:val="24"/>
          <w:szCs w:val="24"/>
          <w:lang w:val="tr-TR"/>
        </w:rPr>
        <w:t>,</w:t>
      </w:r>
      <w:r w:rsidR="00506B5D" w:rsidRPr="008E7BB7">
        <w:rPr>
          <w:rFonts w:ascii="Times New Roman" w:hAnsi="Times New Roman" w:cs="Times New Roman"/>
          <w:sz w:val="24"/>
          <w:szCs w:val="24"/>
          <w:lang w:val="tr-TR"/>
        </w:rPr>
        <w:t>3</w:t>
      </w:r>
      <w:r w:rsidR="00415DE6" w:rsidRPr="008E7BB7">
        <w:rPr>
          <w:rFonts w:ascii="Times New Roman" w:hAnsi="Times New Roman" w:cs="Times New Roman"/>
          <w:sz w:val="24"/>
          <w:szCs w:val="24"/>
          <w:lang w:val="tr-TR"/>
        </w:rPr>
        <w:t>’ü</w:t>
      </w:r>
      <w:r w:rsidR="00191CB0" w:rsidRPr="008E7BB7">
        <w:rPr>
          <w:rFonts w:ascii="Times New Roman" w:hAnsi="Times New Roman" w:cs="Times New Roman"/>
          <w:sz w:val="24"/>
          <w:szCs w:val="24"/>
          <w:lang w:val="tr-TR"/>
        </w:rPr>
        <w:t xml:space="preserve"> </w:t>
      </w:r>
      <w:r w:rsidR="004118AC" w:rsidRPr="008E7BB7">
        <w:rPr>
          <w:rFonts w:ascii="Times New Roman" w:hAnsi="Times New Roman" w:cs="Times New Roman"/>
          <w:color w:val="000000" w:themeColor="text1"/>
          <w:sz w:val="24"/>
          <w:szCs w:val="24"/>
          <w:lang w:val="tr-TR"/>
        </w:rPr>
        <w:t>uygunsuz</w:t>
      </w:r>
      <w:r w:rsidR="009F2175" w:rsidRPr="008E7BB7">
        <w:rPr>
          <w:rFonts w:ascii="Times New Roman" w:hAnsi="Times New Roman" w:cs="Times New Roman"/>
          <w:color w:val="000000" w:themeColor="text1"/>
          <w:sz w:val="24"/>
          <w:szCs w:val="24"/>
          <w:lang w:val="tr-TR"/>
        </w:rPr>
        <w:t>, %</w:t>
      </w:r>
      <w:r w:rsidR="00415DE6" w:rsidRPr="008E7BB7">
        <w:rPr>
          <w:rFonts w:ascii="Times New Roman" w:hAnsi="Times New Roman" w:cs="Times New Roman"/>
          <w:color w:val="000000" w:themeColor="text1"/>
          <w:sz w:val="24"/>
          <w:szCs w:val="24"/>
          <w:lang w:val="tr-TR"/>
        </w:rPr>
        <w:t>0,</w:t>
      </w:r>
      <w:r w:rsidR="00506B5D" w:rsidRPr="008E7BB7">
        <w:rPr>
          <w:rFonts w:ascii="Times New Roman" w:hAnsi="Times New Roman" w:cs="Times New Roman"/>
          <w:color w:val="000000" w:themeColor="text1"/>
          <w:sz w:val="24"/>
          <w:szCs w:val="24"/>
          <w:lang w:val="tr-TR"/>
        </w:rPr>
        <w:t>4</w:t>
      </w:r>
      <w:r w:rsidR="00D53031" w:rsidRPr="008E7BB7">
        <w:rPr>
          <w:rFonts w:ascii="Times New Roman" w:hAnsi="Times New Roman" w:cs="Times New Roman"/>
          <w:color w:val="000000" w:themeColor="text1"/>
          <w:sz w:val="24"/>
          <w:szCs w:val="24"/>
          <w:lang w:val="tr-TR"/>
        </w:rPr>
        <w:t>’</w:t>
      </w:r>
      <w:r w:rsidR="00506B5D" w:rsidRPr="008E7BB7">
        <w:rPr>
          <w:rFonts w:ascii="Times New Roman" w:hAnsi="Times New Roman" w:cs="Times New Roman"/>
          <w:color w:val="000000" w:themeColor="text1"/>
          <w:sz w:val="24"/>
          <w:szCs w:val="24"/>
          <w:lang w:val="tr-TR"/>
        </w:rPr>
        <w:t>ü</w:t>
      </w:r>
      <w:r w:rsidR="00191CB0" w:rsidRPr="008E7BB7">
        <w:rPr>
          <w:rFonts w:ascii="Times New Roman" w:hAnsi="Times New Roman" w:cs="Times New Roman"/>
          <w:color w:val="000000" w:themeColor="text1"/>
          <w:sz w:val="24"/>
          <w:szCs w:val="24"/>
          <w:lang w:val="tr-TR"/>
        </w:rPr>
        <w:t xml:space="preserve"> </w:t>
      </w:r>
      <w:r w:rsidR="009F2175" w:rsidRPr="008E7BB7">
        <w:rPr>
          <w:rFonts w:ascii="Times New Roman" w:hAnsi="Times New Roman" w:cs="Times New Roman"/>
          <w:color w:val="000000" w:themeColor="text1"/>
          <w:sz w:val="24"/>
          <w:szCs w:val="24"/>
          <w:lang w:val="tr-TR"/>
        </w:rPr>
        <w:t>g</w:t>
      </w:r>
      <w:r w:rsidR="00191CB0" w:rsidRPr="008E7BB7">
        <w:rPr>
          <w:rFonts w:ascii="Times New Roman" w:hAnsi="Times New Roman" w:cs="Times New Roman"/>
          <w:color w:val="000000" w:themeColor="text1"/>
          <w:sz w:val="24"/>
          <w:szCs w:val="24"/>
          <w:lang w:val="tr-TR"/>
        </w:rPr>
        <w:t xml:space="preserve">üvensiz </w:t>
      </w:r>
      <w:r w:rsidR="004118AC" w:rsidRPr="008E7BB7">
        <w:rPr>
          <w:rFonts w:ascii="Times New Roman" w:hAnsi="Times New Roman" w:cs="Times New Roman"/>
          <w:color w:val="000000" w:themeColor="text1"/>
          <w:sz w:val="24"/>
          <w:szCs w:val="24"/>
          <w:lang w:val="tr-TR"/>
        </w:rPr>
        <w:t>bulunmuştur.</w:t>
      </w:r>
      <w:r w:rsidR="00191CB0" w:rsidRPr="008E7BB7">
        <w:rPr>
          <w:rFonts w:ascii="Times New Roman" w:hAnsi="Times New Roman" w:cs="Times New Roman"/>
          <w:color w:val="000000" w:themeColor="text1"/>
          <w:sz w:val="24"/>
          <w:szCs w:val="24"/>
          <w:lang w:val="tr-TR"/>
        </w:rPr>
        <w:t xml:space="preserve"> </w:t>
      </w:r>
      <w:r w:rsidR="00506B5D" w:rsidRPr="008E7BB7">
        <w:rPr>
          <w:rFonts w:ascii="Times New Roman" w:hAnsi="Times New Roman" w:cs="Times New Roman"/>
          <w:sz w:val="24"/>
          <w:szCs w:val="24"/>
          <w:lang w:val="tr-TR"/>
        </w:rPr>
        <w:t>636</w:t>
      </w:r>
      <w:r w:rsidR="002E778C" w:rsidRPr="008E7BB7">
        <w:rPr>
          <w:rFonts w:ascii="Times New Roman" w:hAnsi="Times New Roman" w:cs="Times New Roman"/>
          <w:sz w:val="24"/>
          <w:szCs w:val="24"/>
          <w:lang w:val="tr-TR"/>
        </w:rPr>
        <w:t xml:space="preserve"> yerli ürün partisinin denetimi henüz sonuçlandırılamamıştır.</w:t>
      </w:r>
    </w:p>
    <w:p w:rsidR="00A82013" w:rsidRPr="008E7BB7" w:rsidRDefault="00A82013" w:rsidP="00244917">
      <w:pPr>
        <w:spacing w:after="0" w:line="240" w:lineRule="auto"/>
        <w:jc w:val="both"/>
        <w:rPr>
          <w:rFonts w:ascii="Times New Roman" w:hAnsi="Times New Roman" w:cs="Times New Roman"/>
          <w:color w:val="000000" w:themeColor="text1"/>
          <w:sz w:val="24"/>
          <w:szCs w:val="24"/>
          <w:lang w:val="tr-TR"/>
        </w:rPr>
      </w:pPr>
    </w:p>
    <w:p w:rsidR="009536D3" w:rsidRPr="008E7BB7" w:rsidRDefault="009536D3"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Denetlenen tüm ürünler içerisinde ithal ürünlerin payı %</w:t>
      </w:r>
      <w:r w:rsidR="001D2AD9" w:rsidRPr="008E7BB7">
        <w:rPr>
          <w:rFonts w:ascii="Times New Roman" w:hAnsi="Times New Roman" w:cs="Times New Roman"/>
          <w:sz w:val="24"/>
          <w:szCs w:val="24"/>
          <w:lang w:val="tr-TR"/>
        </w:rPr>
        <w:t>6</w:t>
      </w:r>
      <w:r w:rsidR="00E364A9" w:rsidRPr="008E7BB7">
        <w:rPr>
          <w:rFonts w:ascii="Times New Roman" w:hAnsi="Times New Roman" w:cs="Times New Roman"/>
          <w:sz w:val="24"/>
          <w:szCs w:val="24"/>
          <w:lang w:val="tr-TR"/>
        </w:rPr>
        <w:t>,7</w:t>
      </w:r>
      <w:r w:rsidRPr="008E7BB7">
        <w:rPr>
          <w:rFonts w:ascii="Times New Roman" w:hAnsi="Times New Roman" w:cs="Times New Roman"/>
          <w:sz w:val="24"/>
          <w:szCs w:val="24"/>
          <w:lang w:val="tr-TR"/>
        </w:rPr>
        <w:t xml:space="preserve"> olmuştur. </w:t>
      </w:r>
      <w:r w:rsidR="00D53031" w:rsidRPr="008E7BB7">
        <w:rPr>
          <w:rFonts w:ascii="Times New Roman" w:hAnsi="Times New Roman" w:cs="Times New Roman"/>
          <w:sz w:val="24"/>
          <w:szCs w:val="24"/>
          <w:lang w:val="tr-TR"/>
        </w:rPr>
        <w:t>Uygunsuz bulunan ürünlerin</w:t>
      </w:r>
      <w:r w:rsidR="000D39A9" w:rsidRPr="008E7BB7">
        <w:rPr>
          <w:rFonts w:ascii="Times New Roman" w:hAnsi="Times New Roman" w:cs="Times New Roman"/>
          <w:sz w:val="24"/>
          <w:szCs w:val="24"/>
          <w:lang w:val="tr-TR"/>
        </w:rPr>
        <w:t xml:space="preserve"> </w:t>
      </w:r>
      <w:r w:rsidR="006E063A" w:rsidRPr="008E7BB7">
        <w:rPr>
          <w:rFonts w:ascii="Times New Roman" w:hAnsi="Times New Roman" w:cs="Times New Roman"/>
          <w:sz w:val="24"/>
          <w:szCs w:val="24"/>
          <w:lang w:val="tr-TR"/>
        </w:rPr>
        <w:t xml:space="preserve">yaklaşık olarak </w:t>
      </w:r>
      <w:r w:rsidR="000D39A9" w:rsidRPr="008E7BB7">
        <w:rPr>
          <w:rFonts w:ascii="Times New Roman" w:hAnsi="Times New Roman" w:cs="Times New Roman"/>
          <w:sz w:val="24"/>
          <w:szCs w:val="24"/>
          <w:lang w:val="tr-TR"/>
        </w:rPr>
        <w:t>%</w:t>
      </w:r>
      <w:r w:rsidR="001D2AD9" w:rsidRPr="008E7BB7">
        <w:rPr>
          <w:rFonts w:ascii="Times New Roman" w:hAnsi="Times New Roman" w:cs="Times New Roman"/>
          <w:sz w:val="24"/>
          <w:szCs w:val="24"/>
          <w:lang w:val="tr-TR"/>
        </w:rPr>
        <w:t>4</w:t>
      </w:r>
      <w:r w:rsidR="009F2175" w:rsidRPr="008E7BB7">
        <w:rPr>
          <w:rFonts w:ascii="Times New Roman" w:hAnsi="Times New Roman" w:cs="Times New Roman"/>
          <w:sz w:val="24"/>
          <w:szCs w:val="24"/>
          <w:lang w:val="tr-TR"/>
        </w:rPr>
        <w:t>’</w:t>
      </w:r>
      <w:r w:rsidR="001D2AD9" w:rsidRPr="008E7BB7">
        <w:rPr>
          <w:rFonts w:ascii="Times New Roman" w:hAnsi="Times New Roman" w:cs="Times New Roman"/>
          <w:sz w:val="24"/>
          <w:szCs w:val="24"/>
          <w:lang w:val="tr-TR"/>
        </w:rPr>
        <w:t>ünü</w:t>
      </w:r>
      <w:r w:rsidR="000D39A9" w:rsidRPr="008E7BB7">
        <w:rPr>
          <w:rFonts w:ascii="Times New Roman" w:hAnsi="Times New Roman" w:cs="Times New Roman"/>
          <w:sz w:val="24"/>
          <w:szCs w:val="24"/>
          <w:lang w:val="tr-TR"/>
        </w:rPr>
        <w:t xml:space="preserve">, </w:t>
      </w:r>
      <w:r w:rsidRPr="008E7BB7">
        <w:rPr>
          <w:rFonts w:ascii="Times New Roman" w:hAnsi="Times New Roman" w:cs="Times New Roman"/>
          <w:b/>
          <w:sz w:val="24"/>
          <w:szCs w:val="24"/>
          <w:lang w:val="tr-TR"/>
        </w:rPr>
        <w:t xml:space="preserve">güvensiz bulunan ürünlerin </w:t>
      </w:r>
      <w:r w:rsidRPr="008E7BB7">
        <w:rPr>
          <w:rFonts w:ascii="Times New Roman" w:hAnsi="Times New Roman" w:cs="Times New Roman"/>
          <w:b/>
          <w:color w:val="000000" w:themeColor="text1"/>
          <w:sz w:val="24"/>
          <w:szCs w:val="24"/>
          <w:lang w:val="tr-TR"/>
        </w:rPr>
        <w:t>%</w:t>
      </w:r>
      <w:r w:rsidR="00E364A9" w:rsidRPr="008E7BB7">
        <w:rPr>
          <w:rFonts w:ascii="Times New Roman" w:hAnsi="Times New Roman" w:cs="Times New Roman"/>
          <w:b/>
          <w:color w:val="000000" w:themeColor="text1"/>
          <w:sz w:val="24"/>
          <w:szCs w:val="24"/>
          <w:lang w:val="tr-TR"/>
        </w:rPr>
        <w:t>13,</w:t>
      </w:r>
      <w:r w:rsidR="001D2AD9" w:rsidRPr="008E7BB7">
        <w:rPr>
          <w:rFonts w:ascii="Times New Roman" w:hAnsi="Times New Roman" w:cs="Times New Roman"/>
          <w:b/>
          <w:color w:val="000000" w:themeColor="text1"/>
          <w:sz w:val="24"/>
          <w:szCs w:val="24"/>
          <w:lang w:val="tr-TR"/>
        </w:rPr>
        <w:t>3</w:t>
      </w:r>
      <w:r w:rsidR="00E364A9" w:rsidRPr="008E7BB7">
        <w:rPr>
          <w:rFonts w:ascii="Times New Roman" w:hAnsi="Times New Roman" w:cs="Times New Roman"/>
          <w:b/>
          <w:color w:val="000000" w:themeColor="text1"/>
          <w:sz w:val="24"/>
          <w:szCs w:val="24"/>
          <w:lang w:val="tr-TR"/>
        </w:rPr>
        <w:t>’</w:t>
      </w:r>
      <w:r w:rsidR="001D2AD9" w:rsidRPr="008E7BB7">
        <w:rPr>
          <w:rFonts w:ascii="Times New Roman" w:hAnsi="Times New Roman" w:cs="Times New Roman"/>
          <w:b/>
          <w:color w:val="000000" w:themeColor="text1"/>
          <w:sz w:val="24"/>
          <w:szCs w:val="24"/>
          <w:lang w:val="tr-TR"/>
        </w:rPr>
        <w:t>ünü</w:t>
      </w:r>
      <w:r w:rsidR="00191CB0" w:rsidRPr="008E7BB7">
        <w:rPr>
          <w:rFonts w:ascii="Times New Roman" w:hAnsi="Times New Roman" w:cs="Times New Roman"/>
          <w:b/>
          <w:color w:val="000000" w:themeColor="text1"/>
          <w:sz w:val="24"/>
          <w:szCs w:val="24"/>
          <w:lang w:val="tr-TR"/>
        </w:rPr>
        <w:t xml:space="preserve"> </w:t>
      </w:r>
      <w:r w:rsidR="000D39A9" w:rsidRPr="008E7BB7">
        <w:rPr>
          <w:rFonts w:ascii="Times New Roman" w:hAnsi="Times New Roman" w:cs="Times New Roman"/>
          <w:b/>
          <w:sz w:val="24"/>
          <w:szCs w:val="24"/>
          <w:lang w:val="tr-TR"/>
        </w:rPr>
        <w:t xml:space="preserve">ithal ürünler </w:t>
      </w:r>
      <w:r w:rsidR="000D39A9" w:rsidRPr="008E7BB7">
        <w:rPr>
          <w:rFonts w:ascii="Times New Roman" w:hAnsi="Times New Roman" w:cs="Times New Roman"/>
          <w:sz w:val="24"/>
          <w:szCs w:val="24"/>
          <w:lang w:val="tr-TR"/>
        </w:rPr>
        <w:t>oluşturmuştur.</w:t>
      </w:r>
    </w:p>
    <w:p w:rsidR="00AB3B4E" w:rsidRPr="008E7BB7" w:rsidRDefault="00AB3B4E" w:rsidP="00244917">
      <w:pPr>
        <w:spacing w:after="0" w:line="240" w:lineRule="auto"/>
        <w:jc w:val="both"/>
        <w:rPr>
          <w:rFonts w:ascii="Times New Roman" w:hAnsi="Times New Roman" w:cs="Times New Roman"/>
          <w:sz w:val="24"/>
          <w:szCs w:val="24"/>
          <w:lang w:val="tr-TR"/>
        </w:rPr>
      </w:pPr>
    </w:p>
    <w:p w:rsidR="00075C10" w:rsidRPr="008E7BB7" w:rsidRDefault="00463277"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SB tarafından iletilen bilgilere göre</w:t>
      </w:r>
      <w:r w:rsidR="00AB7124">
        <w:rPr>
          <w:rFonts w:ascii="Times New Roman" w:hAnsi="Times New Roman" w:cs="Times New Roman"/>
          <w:sz w:val="24"/>
          <w:szCs w:val="24"/>
          <w:lang w:val="tr-TR"/>
        </w:rPr>
        <w:t>;</w:t>
      </w:r>
      <w:bookmarkStart w:id="0" w:name="_GoBack"/>
      <w:bookmarkEnd w:id="0"/>
      <w:r w:rsidR="00075C10" w:rsidRPr="008E7BB7">
        <w:rPr>
          <w:rFonts w:ascii="Times New Roman" w:hAnsi="Times New Roman" w:cs="Times New Roman"/>
          <w:sz w:val="24"/>
          <w:szCs w:val="24"/>
          <w:lang w:val="tr-TR"/>
        </w:rPr>
        <w:t xml:space="preserve"> Covid-19 salgını nedeniyle özellikle tip-1 </w:t>
      </w:r>
      <w:proofErr w:type="spellStart"/>
      <w:r w:rsidR="00075C10" w:rsidRPr="008E7BB7">
        <w:rPr>
          <w:rFonts w:ascii="Times New Roman" w:hAnsi="Times New Roman" w:cs="Times New Roman"/>
          <w:sz w:val="24"/>
          <w:szCs w:val="24"/>
          <w:lang w:val="tr-TR"/>
        </w:rPr>
        <w:t>biyosidal</w:t>
      </w:r>
      <w:proofErr w:type="spellEnd"/>
      <w:r w:rsidR="00075C10" w:rsidRPr="008E7BB7">
        <w:rPr>
          <w:rFonts w:ascii="Times New Roman" w:hAnsi="Times New Roman" w:cs="Times New Roman"/>
          <w:sz w:val="24"/>
          <w:szCs w:val="24"/>
          <w:lang w:val="tr-TR"/>
        </w:rPr>
        <w:t xml:space="preserve"> ürünlere (el dezenfektanları vb.) talepler artmış olup halkımızın güvenli ve etkin ürünlere ulaşımını sağlamak amacıyla denetimler yapılmıştır. 20 adet uygunsuz ürünün 16 tanesi PGD faaliyetleri sırasında tespit edilen ruhsatsız </w:t>
      </w:r>
      <w:proofErr w:type="spellStart"/>
      <w:r w:rsidR="00075C10" w:rsidRPr="008E7BB7">
        <w:rPr>
          <w:rFonts w:ascii="Times New Roman" w:hAnsi="Times New Roman" w:cs="Times New Roman"/>
          <w:sz w:val="24"/>
          <w:szCs w:val="24"/>
          <w:lang w:val="tr-TR"/>
        </w:rPr>
        <w:t>biyosidal</w:t>
      </w:r>
      <w:proofErr w:type="spellEnd"/>
      <w:r w:rsidR="00075C10" w:rsidRPr="008E7BB7">
        <w:rPr>
          <w:rFonts w:ascii="Times New Roman" w:hAnsi="Times New Roman" w:cs="Times New Roman"/>
          <w:sz w:val="24"/>
          <w:szCs w:val="24"/>
          <w:lang w:val="tr-TR"/>
        </w:rPr>
        <w:t xml:space="preserve"> ürünler olup söz konusu ruhsatsız ürünler için firmalara idari para cezası uygulanmış ve söz konusu ürünler imha edilmiştir. </w:t>
      </w:r>
      <w:proofErr w:type="spellStart"/>
      <w:r w:rsidR="00075C10" w:rsidRPr="008E7BB7">
        <w:rPr>
          <w:rFonts w:ascii="Times New Roman" w:hAnsi="Times New Roman" w:cs="Times New Roman"/>
          <w:sz w:val="24"/>
          <w:szCs w:val="24"/>
          <w:lang w:val="tr-TR"/>
        </w:rPr>
        <w:t>Biyosidal</w:t>
      </w:r>
      <w:proofErr w:type="spellEnd"/>
      <w:r w:rsidR="00075C10" w:rsidRPr="008E7BB7">
        <w:rPr>
          <w:rFonts w:ascii="Times New Roman" w:hAnsi="Times New Roman" w:cs="Times New Roman"/>
          <w:sz w:val="24"/>
          <w:szCs w:val="24"/>
          <w:lang w:val="tr-TR"/>
        </w:rPr>
        <w:t xml:space="preserve"> ürünlere ilişkin analiz süreçleri, firma savunma taleplerine ilişkin süreçler vb. devam etmekte olup işlemi tamamlanmamış ürünlerin verileri tabloya eklenmemiştir. Covid-19 ile mücadele kapsamında ayrıca bugüne kadar 570 adet el temizleme ürünü </w:t>
      </w:r>
      <w:proofErr w:type="spellStart"/>
      <w:r w:rsidR="00075C10" w:rsidRPr="008E7BB7">
        <w:rPr>
          <w:rFonts w:ascii="Times New Roman" w:hAnsi="Times New Roman" w:cs="Times New Roman"/>
          <w:sz w:val="24"/>
          <w:szCs w:val="24"/>
          <w:lang w:val="tr-TR"/>
        </w:rPr>
        <w:t>biyosidal</w:t>
      </w:r>
      <w:proofErr w:type="spellEnd"/>
      <w:r w:rsidR="00075C10" w:rsidRPr="008E7BB7">
        <w:rPr>
          <w:rFonts w:ascii="Times New Roman" w:hAnsi="Times New Roman" w:cs="Times New Roman"/>
          <w:sz w:val="24"/>
          <w:szCs w:val="24"/>
          <w:lang w:val="tr-TR"/>
        </w:rPr>
        <w:t xml:space="preserve"> ürün olabileceği şüphesiyle denetim programına alınmış olup gerçekleştirilen denetimler sonucunda söz konusu ürünlerin kozmetik ürün statüsünde olduğu tespit edildiğinden kozmetik ürün verilerine dahil edilmiştir. </w:t>
      </w:r>
    </w:p>
    <w:p w:rsidR="0023775A" w:rsidRPr="008E7BB7" w:rsidRDefault="00463277" w:rsidP="00244917">
      <w:pPr>
        <w:spacing w:after="0" w:line="240" w:lineRule="auto"/>
        <w:jc w:val="both"/>
        <w:rPr>
          <w:rFonts w:ascii="Times New Roman" w:hAnsi="Times New Roman" w:cs="Times New Roman"/>
          <w:b/>
          <w:sz w:val="24"/>
          <w:szCs w:val="24"/>
          <w:lang w:val="tr-TR"/>
        </w:rPr>
      </w:pPr>
      <w:r w:rsidRPr="008E7BB7">
        <w:rPr>
          <w:noProof/>
          <w:lang w:val="tr-TR" w:eastAsia="tr-TR"/>
        </w:rPr>
        <w:lastRenderedPageBreak/>
        <w:drawing>
          <wp:inline distT="0" distB="0" distL="0" distR="0" wp14:anchorId="3AD1E187" wp14:editId="5F56C52E">
            <wp:extent cx="5828030" cy="3101009"/>
            <wp:effectExtent l="0" t="0" r="1270" b="4445"/>
            <wp:docPr id="16" name="Grafik 16">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775A" w:rsidRPr="008E7BB7" w:rsidRDefault="0023775A" w:rsidP="00244917">
      <w:pPr>
        <w:spacing w:after="0" w:line="240" w:lineRule="auto"/>
        <w:jc w:val="both"/>
        <w:rPr>
          <w:rFonts w:ascii="Times New Roman" w:hAnsi="Times New Roman" w:cs="Times New Roman"/>
          <w:b/>
          <w:sz w:val="24"/>
          <w:szCs w:val="24"/>
          <w:lang w:val="tr-TR"/>
        </w:rPr>
      </w:pPr>
    </w:p>
    <w:p w:rsidR="00537B34" w:rsidRPr="008E7BB7" w:rsidRDefault="00873A82" w:rsidP="00244917">
      <w:pPr>
        <w:spacing w:after="0" w:line="240" w:lineRule="auto"/>
        <w:jc w:val="both"/>
        <w:rPr>
          <w:rFonts w:ascii="Times New Roman" w:hAnsi="Times New Roman" w:cs="Times New Roman"/>
          <w:b/>
          <w:sz w:val="24"/>
          <w:szCs w:val="24"/>
          <w:lang w:val="tr-TR"/>
        </w:rPr>
      </w:pPr>
      <w:r w:rsidRPr="008E7BB7">
        <w:rPr>
          <w:rFonts w:ascii="Times New Roman" w:hAnsi="Times New Roman" w:cs="Times New Roman"/>
          <w:b/>
          <w:sz w:val="24"/>
          <w:szCs w:val="24"/>
          <w:lang w:val="tr-TR"/>
        </w:rPr>
        <w:t>Test ve/veya muayene yapılan ürün</w:t>
      </w:r>
      <w:r w:rsidRPr="008E7BB7">
        <w:rPr>
          <w:rFonts w:ascii="Times New Roman" w:hAnsi="Times New Roman" w:cs="Times New Roman"/>
          <w:sz w:val="24"/>
          <w:szCs w:val="24"/>
          <w:lang w:val="tr-TR"/>
        </w:rPr>
        <w:t xml:space="preserve"> parti sayısı </w:t>
      </w:r>
      <w:r w:rsidR="00463277" w:rsidRPr="008E7BB7">
        <w:rPr>
          <w:rFonts w:ascii="Times New Roman" w:hAnsi="Times New Roman" w:cs="Times New Roman"/>
          <w:sz w:val="24"/>
          <w:szCs w:val="24"/>
          <w:lang w:val="tr-TR"/>
        </w:rPr>
        <w:t>2.908</w:t>
      </w:r>
      <w:r w:rsidRPr="008E7BB7">
        <w:rPr>
          <w:rFonts w:ascii="Times New Roman" w:hAnsi="Times New Roman" w:cs="Times New Roman"/>
          <w:sz w:val="24"/>
          <w:szCs w:val="24"/>
          <w:lang w:val="tr-TR"/>
        </w:rPr>
        <w:t xml:space="preserve">, test edilen ürünler içerisinde </w:t>
      </w:r>
      <w:r w:rsidR="009A5BE1" w:rsidRPr="008E7BB7">
        <w:rPr>
          <w:rFonts w:ascii="Times New Roman" w:hAnsi="Times New Roman" w:cs="Times New Roman"/>
          <w:sz w:val="24"/>
          <w:szCs w:val="24"/>
          <w:lang w:val="tr-TR"/>
        </w:rPr>
        <w:t>güvensiz ürün tespit oranı da %</w:t>
      </w:r>
      <w:r w:rsidR="00463277" w:rsidRPr="008E7BB7">
        <w:rPr>
          <w:rFonts w:ascii="Times New Roman" w:hAnsi="Times New Roman" w:cs="Times New Roman"/>
          <w:sz w:val="24"/>
          <w:szCs w:val="24"/>
          <w:lang w:val="tr-TR"/>
        </w:rPr>
        <w:t>2</w:t>
      </w:r>
      <w:r w:rsidRPr="008E7BB7">
        <w:rPr>
          <w:rFonts w:ascii="Times New Roman" w:hAnsi="Times New Roman" w:cs="Times New Roman"/>
          <w:sz w:val="24"/>
          <w:szCs w:val="24"/>
          <w:lang w:val="tr-TR"/>
        </w:rPr>
        <w:t xml:space="preserve"> (</w:t>
      </w:r>
      <w:r w:rsidR="00463277" w:rsidRPr="008E7BB7">
        <w:rPr>
          <w:rFonts w:ascii="Times New Roman" w:hAnsi="Times New Roman" w:cs="Times New Roman"/>
          <w:sz w:val="24"/>
          <w:szCs w:val="24"/>
          <w:lang w:val="tr-TR"/>
        </w:rPr>
        <w:t>60</w:t>
      </w:r>
      <w:r w:rsidRPr="008E7BB7">
        <w:rPr>
          <w:rFonts w:ascii="Times New Roman" w:hAnsi="Times New Roman" w:cs="Times New Roman"/>
          <w:sz w:val="24"/>
          <w:szCs w:val="24"/>
          <w:lang w:val="tr-TR"/>
        </w:rPr>
        <w:t xml:space="preserve"> ürün </w:t>
      </w:r>
      <w:r w:rsidR="00463277" w:rsidRPr="008E7BB7">
        <w:rPr>
          <w:rFonts w:ascii="Times New Roman" w:hAnsi="Times New Roman" w:cs="Times New Roman"/>
          <w:sz w:val="24"/>
          <w:szCs w:val="24"/>
          <w:lang w:val="tr-TR"/>
        </w:rPr>
        <w:t>partisi) olarak</w:t>
      </w:r>
      <w:r w:rsidR="008B4E84" w:rsidRPr="008E7BB7">
        <w:rPr>
          <w:rFonts w:ascii="Times New Roman" w:hAnsi="Times New Roman" w:cs="Times New Roman"/>
          <w:sz w:val="24"/>
          <w:szCs w:val="24"/>
          <w:lang w:val="tr-TR"/>
        </w:rPr>
        <w:t xml:space="preserve"> gerçekleşmiştir.</w:t>
      </w:r>
      <w:r w:rsidR="00A14089" w:rsidRPr="008E7BB7">
        <w:rPr>
          <w:rFonts w:ascii="Times New Roman" w:hAnsi="Times New Roman" w:cs="Times New Roman"/>
          <w:sz w:val="24"/>
          <w:szCs w:val="24"/>
          <w:lang w:val="tr-TR"/>
        </w:rPr>
        <w:t xml:space="preserve"> </w:t>
      </w:r>
      <w:r w:rsidR="008E2DC1" w:rsidRPr="008E7BB7">
        <w:rPr>
          <w:rFonts w:ascii="Times New Roman" w:hAnsi="Times New Roman" w:cs="Times New Roman"/>
          <w:sz w:val="24"/>
          <w:szCs w:val="24"/>
          <w:lang w:val="tr-TR"/>
        </w:rPr>
        <w:t xml:space="preserve">En fazla test ve/veya muayene sırasıyla </w:t>
      </w:r>
      <w:r w:rsidR="00463277" w:rsidRPr="008E7BB7">
        <w:rPr>
          <w:rFonts w:ascii="Times New Roman" w:hAnsi="Times New Roman" w:cs="Times New Roman"/>
          <w:sz w:val="24"/>
          <w:szCs w:val="24"/>
          <w:lang w:val="tr-TR"/>
        </w:rPr>
        <w:t xml:space="preserve">yem, </w:t>
      </w:r>
      <w:r w:rsidR="00415DE6" w:rsidRPr="008E7BB7">
        <w:rPr>
          <w:rFonts w:ascii="Times New Roman" w:hAnsi="Times New Roman" w:cs="Times New Roman"/>
          <w:sz w:val="24"/>
          <w:szCs w:val="24"/>
          <w:lang w:val="tr-TR"/>
        </w:rPr>
        <w:t xml:space="preserve">hazır </w:t>
      </w:r>
      <w:r w:rsidR="00E364A9" w:rsidRPr="008E7BB7">
        <w:rPr>
          <w:rFonts w:ascii="Times New Roman" w:hAnsi="Times New Roman" w:cs="Times New Roman"/>
          <w:sz w:val="24"/>
          <w:szCs w:val="24"/>
          <w:lang w:val="tr-TR"/>
        </w:rPr>
        <w:t>beton</w:t>
      </w:r>
      <w:r w:rsidR="00415DE6" w:rsidRPr="008E7BB7">
        <w:rPr>
          <w:rFonts w:ascii="Times New Roman" w:hAnsi="Times New Roman" w:cs="Times New Roman"/>
          <w:sz w:val="24"/>
          <w:szCs w:val="24"/>
          <w:lang w:val="tr-TR"/>
        </w:rPr>
        <w:t>,</w:t>
      </w:r>
      <w:r w:rsidR="00E364A9" w:rsidRPr="008E7BB7">
        <w:rPr>
          <w:rFonts w:ascii="Times New Roman" w:hAnsi="Times New Roman" w:cs="Times New Roman"/>
          <w:sz w:val="24"/>
          <w:szCs w:val="24"/>
          <w:lang w:val="tr-TR"/>
        </w:rPr>
        <w:t xml:space="preserve"> </w:t>
      </w:r>
      <w:r w:rsidR="00463277" w:rsidRPr="008E7BB7">
        <w:rPr>
          <w:rFonts w:ascii="Times New Roman" w:hAnsi="Times New Roman" w:cs="Times New Roman"/>
          <w:sz w:val="24"/>
          <w:szCs w:val="24"/>
          <w:lang w:val="tr-TR"/>
        </w:rPr>
        <w:t xml:space="preserve">kırtasiye, </w:t>
      </w:r>
      <w:r w:rsidR="00E364A9" w:rsidRPr="008E7BB7">
        <w:rPr>
          <w:rFonts w:ascii="Times New Roman" w:hAnsi="Times New Roman" w:cs="Times New Roman"/>
          <w:sz w:val="24"/>
          <w:szCs w:val="24"/>
          <w:lang w:val="tr-TR"/>
        </w:rPr>
        <w:t>hazır beton dışındaki yapı malzemeleri</w:t>
      </w:r>
      <w:r w:rsidR="00463277" w:rsidRPr="008E7BB7">
        <w:rPr>
          <w:rFonts w:ascii="Times New Roman" w:hAnsi="Times New Roman" w:cs="Times New Roman"/>
          <w:sz w:val="24"/>
          <w:szCs w:val="24"/>
          <w:lang w:val="tr-TR"/>
        </w:rPr>
        <w:t xml:space="preserve"> ve tekstil </w:t>
      </w:r>
      <w:r w:rsidR="007B076A" w:rsidRPr="008E7BB7">
        <w:rPr>
          <w:rFonts w:ascii="Times New Roman" w:hAnsi="Times New Roman" w:cs="Times New Roman"/>
          <w:sz w:val="24"/>
          <w:szCs w:val="24"/>
          <w:lang w:val="tr-TR"/>
        </w:rPr>
        <w:t>ürün gruplarında yapılmıştır.</w:t>
      </w:r>
    </w:p>
    <w:p w:rsidR="007B076A" w:rsidRPr="008E7BB7" w:rsidRDefault="007B076A" w:rsidP="00244917">
      <w:pPr>
        <w:spacing w:after="0" w:line="240" w:lineRule="auto"/>
        <w:jc w:val="both"/>
        <w:rPr>
          <w:rFonts w:ascii="Times New Roman" w:hAnsi="Times New Roman" w:cs="Times New Roman"/>
          <w:sz w:val="24"/>
          <w:szCs w:val="24"/>
          <w:lang w:val="tr-TR"/>
        </w:rPr>
      </w:pPr>
    </w:p>
    <w:p w:rsidR="00E34245" w:rsidRDefault="007F6586"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2021</w:t>
      </w:r>
      <w:r w:rsidR="00A536A2" w:rsidRPr="008E7BB7">
        <w:rPr>
          <w:rFonts w:ascii="Times New Roman" w:hAnsi="Times New Roman" w:cs="Times New Roman"/>
          <w:sz w:val="24"/>
          <w:szCs w:val="24"/>
          <w:lang w:val="tr-TR"/>
        </w:rPr>
        <w:t xml:space="preserve"> yılı </w:t>
      </w:r>
      <w:r w:rsidR="00463277" w:rsidRPr="008E7BB7">
        <w:rPr>
          <w:rFonts w:ascii="Times New Roman" w:hAnsi="Times New Roman" w:cs="Times New Roman"/>
          <w:sz w:val="24"/>
          <w:szCs w:val="24"/>
          <w:lang w:val="tr-TR"/>
        </w:rPr>
        <w:t>üçüncü</w:t>
      </w:r>
      <w:r w:rsidR="00A536A2" w:rsidRPr="008E7BB7">
        <w:rPr>
          <w:rFonts w:ascii="Times New Roman" w:hAnsi="Times New Roman" w:cs="Times New Roman"/>
          <w:sz w:val="24"/>
          <w:szCs w:val="24"/>
          <w:lang w:val="tr-TR"/>
        </w:rPr>
        <w:t xml:space="preserve"> </w:t>
      </w:r>
      <w:r w:rsidR="00463277" w:rsidRPr="008E7BB7">
        <w:rPr>
          <w:rFonts w:ascii="Times New Roman" w:hAnsi="Times New Roman" w:cs="Times New Roman"/>
          <w:sz w:val="24"/>
          <w:szCs w:val="24"/>
          <w:lang w:val="tr-TR"/>
        </w:rPr>
        <w:t>çeyreğinde</w:t>
      </w:r>
      <w:r w:rsidR="00A14089" w:rsidRPr="008E7BB7">
        <w:rPr>
          <w:rFonts w:ascii="Times New Roman" w:hAnsi="Times New Roman" w:cs="Times New Roman"/>
          <w:sz w:val="24"/>
          <w:szCs w:val="24"/>
          <w:lang w:val="tr-TR"/>
        </w:rPr>
        <w:t xml:space="preserve"> </w:t>
      </w:r>
      <w:r w:rsidR="00A536A2" w:rsidRPr="008E7BB7">
        <w:rPr>
          <w:rFonts w:ascii="Times New Roman" w:hAnsi="Times New Roman" w:cs="Times New Roman"/>
          <w:sz w:val="24"/>
          <w:szCs w:val="24"/>
          <w:lang w:val="tr-TR"/>
        </w:rPr>
        <w:t>t</w:t>
      </w:r>
      <w:r w:rsidR="00BF1548" w:rsidRPr="008E7BB7">
        <w:rPr>
          <w:rFonts w:ascii="Times New Roman" w:hAnsi="Times New Roman" w:cs="Times New Roman"/>
          <w:sz w:val="24"/>
          <w:szCs w:val="24"/>
          <w:lang w:val="tr-TR"/>
        </w:rPr>
        <w:t xml:space="preserve">est/muayene yapılan ürünlerden </w:t>
      </w:r>
      <w:r w:rsidR="00463277" w:rsidRPr="008E7BB7">
        <w:rPr>
          <w:rFonts w:ascii="Times New Roman" w:hAnsi="Times New Roman" w:cs="Times New Roman"/>
          <w:sz w:val="24"/>
          <w:szCs w:val="24"/>
          <w:lang w:val="tr-TR"/>
        </w:rPr>
        <w:t>60</w:t>
      </w:r>
      <w:r w:rsidR="00A536A2" w:rsidRPr="008E7BB7">
        <w:rPr>
          <w:rFonts w:ascii="Times New Roman" w:hAnsi="Times New Roman" w:cs="Times New Roman"/>
          <w:sz w:val="24"/>
          <w:szCs w:val="24"/>
          <w:lang w:val="tr-TR"/>
        </w:rPr>
        <w:t xml:space="preserve"> ürün partisi güvensiz bulunmuş olup, söz konusu rakam toplam </w:t>
      </w:r>
      <w:r w:rsidR="006C25C0" w:rsidRPr="008E7BB7">
        <w:rPr>
          <w:rFonts w:ascii="Times New Roman" w:hAnsi="Times New Roman" w:cs="Times New Roman"/>
          <w:sz w:val="24"/>
          <w:szCs w:val="24"/>
          <w:lang w:val="tr-TR"/>
        </w:rPr>
        <w:t>g</w:t>
      </w:r>
      <w:r w:rsidR="002C76BA" w:rsidRPr="008E7BB7">
        <w:rPr>
          <w:rFonts w:ascii="Times New Roman" w:hAnsi="Times New Roman" w:cs="Times New Roman"/>
          <w:sz w:val="24"/>
          <w:szCs w:val="24"/>
          <w:lang w:val="tr-TR"/>
        </w:rPr>
        <w:t>üvensizliklerin</w:t>
      </w:r>
      <w:r w:rsidR="00A536A2" w:rsidRPr="008E7BB7">
        <w:rPr>
          <w:rFonts w:ascii="Times New Roman" w:hAnsi="Times New Roman" w:cs="Times New Roman"/>
          <w:sz w:val="24"/>
          <w:szCs w:val="24"/>
          <w:lang w:val="tr-TR"/>
        </w:rPr>
        <w:t xml:space="preserve"> (</w:t>
      </w:r>
      <w:r w:rsidR="00463277" w:rsidRPr="008E7BB7">
        <w:rPr>
          <w:rFonts w:ascii="Times New Roman" w:hAnsi="Times New Roman" w:cs="Times New Roman"/>
          <w:sz w:val="24"/>
          <w:szCs w:val="24"/>
          <w:lang w:val="tr-TR"/>
        </w:rPr>
        <w:t>60</w:t>
      </w:r>
      <w:r w:rsidR="00A536A2" w:rsidRPr="008E7BB7">
        <w:rPr>
          <w:rFonts w:ascii="Times New Roman" w:hAnsi="Times New Roman" w:cs="Times New Roman"/>
          <w:sz w:val="24"/>
          <w:szCs w:val="24"/>
          <w:lang w:val="tr-TR"/>
        </w:rPr>
        <w:t xml:space="preserve"> ürün partisi)</w:t>
      </w:r>
      <w:r w:rsidR="002C76BA"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tamamının</w:t>
      </w:r>
      <w:r w:rsidR="002C76BA" w:rsidRPr="008E7BB7">
        <w:rPr>
          <w:rFonts w:ascii="Times New Roman" w:hAnsi="Times New Roman" w:cs="Times New Roman"/>
          <w:sz w:val="24"/>
          <w:szCs w:val="24"/>
          <w:lang w:val="tr-TR"/>
        </w:rPr>
        <w:t xml:space="preserve"> test/muayene sonucunda tespit edil</w:t>
      </w:r>
      <w:r w:rsidR="00A536A2" w:rsidRPr="008E7BB7">
        <w:rPr>
          <w:rFonts w:ascii="Times New Roman" w:hAnsi="Times New Roman" w:cs="Times New Roman"/>
          <w:sz w:val="24"/>
          <w:szCs w:val="24"/>
          <w:lang w:val="tr-TR"/>
        </w:rPr>
        <w:t>diğini göstermektedir. Bu durum,</w:t>
      </w:r>
      <w:r w:rsidR="002C76BA" w:rsidRPr="008E7BB7">
        <w:rPr>
          <w:rFonts w:ascii="Times New Roman" w:hAnsi="Times New Roman" w:cs="Times New Roman"/>
          <w:sz w:val="24"/>
          <w:szCs w:val="24"/>
          <w:lang w:val="tr-TR"/>
        </w:rPr>
        <w:t xml:space="preserve"> vatandaşlarımızın korunması için bu işlemlerin ne kadar önemli olduğunun bir göstergesidir.</w:t>
      </w:r>
      <w:r w:rsidR="00BA1622" w:rsidRPr="008E7BB7">
        <w:rPr>
          <w:rFonts w:ascii="Times New Roman" w:hAnsi="Times New Roman" w:cs="Times New Roman"/>
          <w:sz w:val="24"/>
          <w:szCs w:val="24"/>
          <w:lang w:val="tr-TR"/>
        </w:rPr>
        <w:t xml:space="preserve"> Böylece, PGD kuruluşlarının</w:t>
      </w:r>
      <w:r w:rsidR="00CC5547" w:rsidRPr="008E7BB7">
        <w:rPr>
          <w:rFonts w:ascii="Times New Roman" w:hAnsi="Times New Roman" w:cs="Times New Roman"/>
          <w:sz w:val="24"/>
          <w:szCs w:val="24"/>
          <w:lang w:val="tr-TR"/>
        </w:rPr>
        <w:t xml:space="preserve"> test/muayene işlemlerinin</w:t>
      </w:r>
      <w:r w:rsidR="00A14089" w:rsidRPr="008E7BB7">
        <w:rPr>
          <w:rFonts w:ascii="Times New Roman" w:hAnsi="Times New Roman" w:cs="Times New Roman"/>
          <w:sz w:val="24"/>
          <w:szCs w:val="24"/>
          <w:lang w:val="tr-TR"/>
        </w:rPr>
        <w:t xml:space="preserve"> genel olar</w:t>
      </w:r>
      <w:r w:rsidRPr="008E7BB7">
        <w:rPr>
          <w:rFonts w:ascii="Times New Roman" w:hAnsi="Times New Roman" w:cs="Times New Roman"/>
          <w:sz w:val="24"/>
          <w:szCs w:val="24"/>
          <w:lang w:val="tr-TR"/>
        </w:rPr>
        <w:t>ak 2021</w:t>
      </w:r>
      <w:r w:rsidR="00BA1622" w:rsidRPr="008E7BB7">
        <w:rPr>
          <w:rFonts w:ascii="Times New Roman" w:hAnsi="Times New Roman" w:cs="Times New Roman"/>
          <w:sz w:val="24"/>
          <w:szCs w:val="24"/>
          <w:lang w:val="tr-TR"/>
        </w:rPr>
        <w:t xml:space="preserve"> yılı </w:t>
      </w:r>
      <w:r w:rsidR="00463277" w:rsidRPr="008E7BB7">
        <w:rPr>
          <w:rFonts w:ascii="Times New Roman" w:hAnsi="Times New Roman" w:cs="Times New Roman"/>
          <w:sz w:val="24"/>
          <w:szCs w:val="24"/>
          <w:lang w:val="tr-TR"/>
        </w:rPr>
        <w:t>üçüncü</w:t>
      </w:r>
      <w:r w:rsidR="008178C6" w:rsidRPr="008E7BB7">
        <w:rPr>
          <w:rFonts w:ascii="Times New Roman" w:hAnsi="Times New Roman" w:cs="Times New Roman"/>
          <w:sz w:val="24"/>
          <w:szCs w:val="24"/>
          <w:lang w:val="tr-TR"/>
        </w:rPr>
        <w:t xml:space="preserve"> </w:t>
      </w:r>
      <w:r w:rsidR="003132AE" w:rsidRPr="008E7BB7">
        <w:rPr>
          <w:rFonts w:ascii="Times New Roman" w:hAnsi="Times New Roman" w:cs="Times New Roman"/>
          <w:sz w:val="24"/>
          <w:szCs w:val="24"/>
          <w:lang w:val="tr-TR"/>
        </w:rPr>
        <w:t>üç</w:t>
      </w:r>
      <w:r w:rsidR="00BA1622" w:rsidRPr="008E7BB7">
        <w:rPr>
          <w:rFonts w:ascii="Times New Roman" w:hAnsi="Times New Roman" w:cs="Times New Roman"/>
          <w:sz w:val="24"/>
          <w:szCs w:val="24"/>
          <w:lang w:val="tr-TR"/>
        </w:rPr>
        <w:t xml:space="preserve"> ayında riskli ürünleri tespitte etkin oldukları söylenebilir.</w:t>
      </w:r>
    </w:p>
    <w:p w:rsidR="00244917" w:rsidRPr="008E7BB7" w:rsidRDefault="00244917" w:rsidP="00244917">
      <w:pPr>
        <w:spacing w:after="0" w:line="240" w:lineRule="auto"/>
        <w:jc w:val="both"/>
        <w:rPr>
          <w:rFonts w:ascii="Times New Roman" w:hAnsi="Times New Roman" w:cs="Times New Roman"/>
          <w:sz w:val="24"/>
          <w:szCs w:val="24"/>
          <w:lang w:val="tr-TR"/>
        </w:rPr>
      </w:pPr>
    </w:p>
    <w:p w:rsidR="00197CA3" w:rsidRPr="008E7BB7" w:rsidRDefault="00B330A2" w:rsidP="00244917">
      <w:pPr>
        <w:spacing w:after="0" w:line="240" w:lineRule="auto"/>
        <w:jc w:val="both"/>
        <w:rPr>
          <w:rFonts w:ascii="Times New Roman" w:hAnsi="Times New Roman" w:cs="Times New Roman"/>
          <w:sz w:val="24"/>
          <w:szCs w:val="24"/>
          <w:lang w:val="tr-TR"/>
        </w:rPr>
      </w:pPr>
      <w:r w:rsidRPr="008E7BB7">
        <w:rPr>
          <w:noProof/>
          <w:lang w:val="tr-TR" w:eastAsia="tr-TR"/>
        </w:rPr>
        <w:drawing>
          <wp:inline distT="0" distB="0" distL="0" distR="0" wp14:anchorId="4812A77D" wp14:editId="1B8F1E10">
            <wp:extent cx="5796280" cy="3291840"/>
            <wp:effectExtent l="0" t="0" r="13970" b="3810"/>
            <wp:docPr id="1" name="Grafik 1">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27F7" w:rsidRPr="008E7BB7" w:rsidRDefault="00C927F7" w:rsidP="00244917">
      <w:pPr>
        <w:spacing w:after="0" w:line="240" w:lineRule="auto"/>
        <w:jc w:val="both"/>
        <w:rPr>
          <w:rFonts w:ascii="Times New Roman" w:hAnsi="Times New Roman" w:cs="Times New Roman"/>
          <w:sz w:val="24"/>
          <w:szCs w:val="24"/>
          <w:lang w:val="tr-TR"/>
        </w:rPr>
      </w:pPr>
    </w:p>
    <w:p w:rsidR="00C927F7" w:rsidRPr="008E7BB7" w:rsidRDefault="00C927F7" w:rsidP="00244917">
      <w:pPr>
        <w:spacing w:after="0" w:line="240" w:lineRule="auto"/>
        <w:jc w:val="both"/>
        <w:rPr>
          <w:rFonts w:ascii="Times New Roman" w:hAnsi="Times New Roman" w:cs="Times New Roman"/>
          <w:sz w:val="24"/>
          <w:szCs w:val="24"/>
          <w:lang w:val="tr-TR"/>
        </w:rPr>
        <w:sectPr w:rsidR="00C927F7" w:rsidRPr="008E7BB7" w:rsidSect="00191E5D">
          <w:type w:val="continuous"/>
          <w:pgSz w:w="11906" w:h="16838"/>
          <w:pgMar w:top="1417" w:right="1417" w:bottom="1417" w:left="1417" w:header="708" w:footer="708" w:gutter="0"/>
          <w:cols w:space="708"/>
          <w:docGrid w:linePitch="360"/>
        </w:sectPr>
      </w:pPr>
    </w:p>
    <w:p w:rsidR="00A14089" w:rsidRDefault="00945655"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lastRenderedPageBreak/>
        <w:t xml:space="preserve">Söz konusu dönemde </w:t>
      </w:r>
      <w:r w:rsidR="00463277" w:rsidRPr="008E7BB7">
        <w:rPr>
          <w:rFonts w:ascii="Times New Roman" w:hAnsi="Times New Roman" w:cs="Times New Roman"/>
          <w:sz w:val="24"/>
          <w:szCs w:val="24"/>
          <w:lang w:val="tr-TR"/>
        </w:rPr>
        <w:t>55</w:t>
      </w:r>
      <w:r w:rsidR="007F6586" w:rsidRPr="008E7BB7">
        <w:rPr>
          <w:rFonts w:ascii="Times New Roman" w:hAnsi="Times New Roman" w:cs="Times New Roman"/>
          <w:sz w:val="24"/>
          <w:szCs w:val="24"/>
          <w:lang w:val="tr-TR"/>
        </w:rPr>
        <w:t>2</w:t>
      </w:r>
      <w:r w:rsidR="009C758B" w:rsidRPr="008E7BB7">
        <w:rPr>
          <w:rFonts w:ascii="Times New Roman" w:hAnsi="Times New Roman" w:cs="Times New Roman"/>
          <w:sz w:val="24"/>
          <w:szCs w:val="24"/>
          <w:lang w:val="tr-TR"/>
        </w:rPr>
        <w:t xml:space="preserve"> ürün partisinin</w:t>
      </w:r>
      <w:r w:rsidRPr="008E7BB7">
        <w:rPr>
          <w:rFonts w:ascii="Times New Roman" w:hAnsi="Times New Roman" w:cs="Times New Roman"/>
          <w:sz w:val="24"/>
          <w:szCs w:val="24"/>
          <w:lang w:val="tr-TR"/>
        </w:rPr>
        <w:t xml:space="preserve"> uyguns</w:t>
      </w:r>
      <w:r w:rsidR="0036575F" w:rsidRPr="008E7BB7">
        <w:rPr>
          <w:rFonts w:ascii="Times New Roman" w:hAnsi="Times New Roman" w:cs="Times New Roman"/>
          <w:sz w:val="24"/>
          <w:szCs w:val="24"/>
          <w:lang w:val="tr-TR"/>
        </w:rPr>
        <w:t xml:space="preserve">uz olduğu tespit edilmiştir. </w:t>
      </w:r>
      <w:r w:rsidR="00837641" w:rsidRPr="008E7BB7">
        <w:rPr>
          <w:rFonts w:ascii="Times New Roman" w:hAnsi="Times New Roman" w:cs="Times New Roman"/>
          <w:sz w:val="24"/>
          <w:szCs w:val="24"/>
          <w:lang w:val="tr-TR"/>
        </w:rPr>
        <w:t>169</w:t>
      </w:r>
      <w:r w:rsidR="0079290D" w:rsidRPr="008E7BB7">
        <w:rPr>
          <w:rFonts w:ascii="Times New Roman" w:hAnsi="Times New Roman" w:cs="Times New Roman"/>
          <w:sz w:val="24"/>
          <w:szCs w:val="24"/>
          <w:lang w:val="tr-TR"/>
        </w:rPr>
        <w:t>’</w:t>
      </w:r>
      <w:r w:rsidR="00837641" w:rsidRPr="008E7BB7">
        <w:rPr>
          <w:rFonts w:ascii="Times New Roman" w:hAnsi="Times New Roman" w:cs="Times New Roman"/>
          <w:sz w:val="24"/>
          <w:szCs w:val="24"/>
          <w:lang w:val="tr-TR"/>
        </w:rPr>
        <w:t>una</w:t>
      </w:r>
      <w:r w:rsidR="00A14089" w:rsidRPr="008E7BB7">
        <w:rPr>
          <w:rFonts w:ascii="Times New Roman" w:hAnsi="Times New Roman" w:cs="Times New Roman"/>
          <w:sz w:val="24"/>
          <w:szCs w:val="24"/>
          <w:lang w:val="tr-TR"/>
        </w:rPr>
        <w:t xml:space="preserve"> </w:t>
      </w:r>
      <w:r w:rsidR="00837641" w:rsidRPr="008E7BB7">
        <w:rPr>
          <w:rFonts w:ascii="Times New Roman" w:hAnsi="Times New Roman" w:cs="Times New Roman"/>
          <w:sz w:val="24"/>
          <w:szCs w:val="24"/>
          <w:lang w:val="tr-TR"/>
        </w:rPr>
        <w:t xml:space="preserve">2.689.272 </w:t>
      </w:r>
      <w:r w:rsidRPr="008E7BB7">
        <w:rPr>
          <w:rFonts w:ascii="Times New Roman" w:hAnsi="Times New Roman" w:cs="Times New Roman"/>
          <w:sz w:val="24"/>
          <w:szCs w:val="24"/>
          <w:lang w:val="tr-TR"/>
        </w:rPr>
        <w:t xml:space="preserve">TL tutarında idari para cezası uygulanmıştır. Bununla birlikte, güvensiz olduğu tespit edilen </w:t>
      </w:r>
      <w:r w:rsidR="00837641" w:rsidRPr="008E7BB7">
        <w:rPr>
          <w:rFonts w:ascii="Times New Roman" w:hAnsi="Times New Roman" w:cs="Times New Roman"/>
          <w:sz w:val="24"/>
          <w:szCs w:val="24"/>
          <w:lang w:val="tr-TR"/>
        </w:rPr>
        <w:t>60</w:t>
      </w:r>
      <w:r w:rsidR="009C758B" w:rsidRPr="008E7BB7">
        <w:rPr>
          <w:rFonts w:ascii="Times New Roman" w:hAnsi="Times New Roman" w:cs="Times New Roman"/>
          <w:sz w:val="24"/>
          <w:szCs w:val="24"/>
          <w:lang w:val="tr-TR"/>
        </w:rPr>
        <w:t xml:space="preserve"> ürün partisinin</w:t>
      </w:r>
      <w:r w:rsidR="00A14089" w:rsidRPr="008E7BB7">
        <w:rPr>
          <w:rFonts w:ascii="Times New Roman" w:hAnsi="Times New Roman" w:cs="Times New Roman"/>
          <w:sz w:val="24"/>
          <w:szCs w:val="24"/>
          <w:lang w:val="tr-TR"/>
        </w:rPr>
        <w:t xml:space="preserve"> </w:t>
      </w:r>
      <w:r w:rsidR="00837641" w:rsidRPr="008E7BB7">
        <w:rPr>
          <w:rFonts w:ascii="Times New Roman" w:hAnsi="Times New Roman" w:cs="Times New Roman"/>
          <w:sz w:val="24"/>
          <w:szCs w:val="24"/>
          <w:lang w:val="tr-TR"/>
        </w:rPr>
        <w:t>22</w:t>
      </w:r>
      <w:r w:rsidR="006E063A" w:rsidRPr="008E7BB7">
        <w:rPr>
          <w:rFonts w:ascii="Times New Roman" w:hAnsi="Times New Roman" w:cs="Times New Roman"/>
          <w:sz w:val="24"/>
          <w:szCs w:val="24"/>
          <w:lang w:val="tr-TR"/>
        </w:rPr>
        <w:t>’</w:t>
      </w:r>
      <w:r w:rsidR="00837641" w:rsidRPr="008E7BB7">
        <w:rPr>
          <w:rFonts w:ascii="Times New Roman" w:hAnsi="Times New Roman" w:cs="Times New Roman"/>
          <w:sz w:val="24"/>
          <w:szCs w:val="24"/>
          <w:lang w:val="tr-TR"/>
        </w:rPr>
        <w:t>sine de</w:t>
      </w:r>
      <w:r w:rsidR="00A14089" w:rsidRPr="008E7BB7">
        <w:rPr>
          <w:rFonts w:ascii="Times New Roman" w:hAnsi="Times New Roman" w:cs="Times New Roman"/>
          <w:sz w:val="24"/>
          <w:szCs w:val="24"/>
          <w:lang w:val="tr-TR"/>
        </w:rPr>
        <w:t xml:space="preserve"> </w:t>
      </w:r>
      <w:r w:rsidR="00837641" w:rsidRPr="008E7BB7">
        <w:rPr>
          <w:rFonts w:ascii="Times New Roman" w:hAnsi="Times New Roman" w:cs="Times New Roman"/>
          <w:sz w:val="24"/>
          <w:szCs w:val="24"/>
          <w:lang w:val="tr-TR"/>
        </w:rPr>
        <w:t xml:space="preserve">1.093.311 </w:t>
      </w:r>
      <w:r w:rsidRPr="008E7BB7">
        <w:rPr>
          <w:rFonts w:ascii="Times New Roman" w:hAnsi="Times New Roman" w:cs="Times New Roman"/>
          <w:sz w:val="24"/>
          <w:szCs w:val="24"/>
          <w:lang w:val="tr-TR"/>
        </w:rPr>
        <w:t xml:space="preserve">TL tutarında idari para cezası uygulanmıştır. </w:t>
      </w:r>
      <w:r w:rsidR="00991A94" w:rsidRPr="008E7BB7">
        <w:rPr>
          <w:rFonts w:ascii="Times New Roman" w:hAnsi="Times New Roman" w:cs="Times New Roman"/>
          <w:sz w:val="24"/>
          <w:szCs w:val="24"/>
          <w:lang w:val="tr-TR"/>
        </w:rPr>
        <w:t>Bununla birlikte, uygunsuz ve güvensiz bulunan ürünlere ilişkin idari işlemler uzun sürdüğünden bazı ürün gruplarında idari yaptırımlara ve para cezalarına ilişkin işlemler tamamlan</w:t>
      </w:r>
      <w:r w:rsidR="006B09BD" w:rsidRPr="008E7BB7">
        <w:rPr>
          <w:rFonts w:ascii="Times New Roman" w:hAnsi="Times New Roman" w:cs="Times New Roman"/>
          <w:sz w:val="24"/>
          <w:szCs w:val="24"/>
          <w:lang w:val="tr-TR"/>
        </w:rPr>
        <w:t>a</w:t>
      </w:r>
      <w:r w:rsidR="00991A94" w:rsidRPr="008E7BB7">
        <w:rPr>
          <w:rFonts w:ascii="Times New Roman" w:hAnsi="Times New Roman" w:cs="Times New Roman"/>
          <w:sz w:val="24"/>
          <w:szCs w:val="24"/>
          <w:lang w:val="tr-TR"/>
        </w:rPr>
        <w:t>mamıştır. Söz konusu işlemlerin tamamlanmasını müteakip idari yaptırım ve para cezaları hakkında Yıllık PGD Raporu’nda raporlama yapılabil</w:t>
      </w:r>
      <w:r w:rsidR="00A14089" w:rsidRPr="008E7BB7">
        <w:rPr>
          <w:rFonts w:ascii="Times New Roman" w:hAnsi="Times New Roman" w:cs="Times New Roman"/>
          <w:sz w:val="24"/>
          <w:szCs w:val="24"/>
          <w:lang w:val="tr-TR"/>
        </w:rPr>
        <w:t>mektedir.</w:t>
      </w:r>
    </w:p>
    <w:p w:rsidR="00244917" w:rsidRPr="008E7BB7" w:rsidRDefault="00244917" w:rsidP="00244917">
      <w:pPr>
        <w:spacing w:after="0" w:line="240" w:lineRule="auto"/>
        <w:jc w:val="both"/>
        <w:rPr>
          <w:rFonts w:ascii="Times New Roman" w:hAnsi="Times New Roman" w:cs="Times New Roman"/>
          <w:color w:val="000000" w:themeColor="text1"/>
          <w:sz w:val="24"/>
          <w:szCs w:val="24"/>
          <w:lang w:val="tr-TR"/>
        </w:rPr>
      </w:pPr>
    </w:p>
    <w:p w:rsidR="00122473" w:rsidRPr="008E7BB7" w:rsidRDefault="00122473" w:rsidP="00244917">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ÜRÜN GRUBU BAZINDA DEĞERLENDİRME</w:t>
      </w:r>
    </w:p>
    <w:p w:rsidR="008B0FAF" w:rsidRPr="008E7BB7" w:rsidRDefault="008B0FAF" w:rsidP="00244917">
      <w:pPr>
        <w:pStyle w:val="ListeParagraf"/>
        <w:spacing w:after="0" w:line="240" w:lineRule="auto"/>
        <w:jc w:val="both"/>
        <w:rPr>
          <w:rFonts w:ascii="Times New Roman" w:hAnsi="Times New Roman" w:cs="Times New Roman"/>
          <w:b/>
          <w:color w:val="C00000"/>
          <w:sz w:val="24"/>
          <w:szCs w:val="24"/>
          <w:lang w:val="tr-TR"/>
        </w:rPr>
      </w:pPr>
    </w:p>
    <w:p w:rsidR="009909A8" w:rsidRPr="008E7BB7" w:rsidRDefault="00B330A2" w:rsidP="00244917">
      <w:pPr>
        <w:spacing w:after="0" w:line="240" w:lineRule="auto"/>
        <w:jc w:val="both"/>
        <w:rPr>
          <w:rFonts w:ascii="Times New Roman" w:hAnsi="Times New Roman" w:cs="Times New Roman"/>
          <w:sz w:val="24"/>
          <w:szCs w:val="24"/>
          <w:lang w:val="tr-TR"/>
        </w:rPr>
      </w:pPr>
      <w:r w:rsidRPr="008E7BB7">
        <w:rPr>
          <w:noProof/>
          <w:lang w:val="tr-TR" w:eastAsia="tr-TR"/>
        </w:rPr>
        <w:drawing>
          <wp:inline distT="0" distB="0" distL="0" distR="0" wp14:anchorId="4ECD2F20" wp14:editId="7A48851B">
            <wp:extent cx="5723906" cy="4286992"/>
            <wp:effectExtent l="0" t="0" r="10160" b="18415"/>
            <wp:docPr id="13" name="Grafik 13">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01D1" w:rsidRPr="008E7BB7" w:rsidRDefault="007301D1" w:rsidP="00244917">
      <w:pPr>
        <w:spacing w:after="0" w:line="240" w:lineRule="auto"/>
        <w:jc w:val="both"/>
        <w:rPr>
          <w:rFonts w:ascii="Times New Roman" w:hAnsi="Times New Roman" w:cs="Times New Roman"/>
          <w:sz w:val="24"/>
          <w:szCs w:val="24"/>
          <w:lang w:val="tr-TR"/>
        </w:rPr>
      </w:pPr>
    </w:p>
    <w:p w:rsidR="00E34245" w:rsidRPr="008E7BB7" w:rsidRDefault="00E34245"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color w:val="000000" w:themeColor="text1"/>
          <w:sz w:val="24"/>
          <w:szCs w:val="24"/>
          <w:lang w:val="tr-TR"/>
        </w:rPr>
        <w:t>Ürün grubu bazında bir değerlendirme yapıldığında,</w:t>
      </w:r>
      <w:r w:rsidR="00AE697F" w:rsidRPr="008E7BB7">
        <w:rPr>
          <w:rFonts w:ascii="Times New Roman" w:hAnsi="Times New Roman" w:cs="Times New Roman"/>
          <w:color w:val="000000" w:themeColor="text1"/>
          <w:sz w:val="24"/>
          <w:szCs w:val="24"/>
          <w:lang w:val="tr-TR"/>
        </w:rPr>
        <w:t xml:space="preserve"> denetlenen ürün</w:t>
      </w:r>
      <w:r w:rsidR="00B26B7D" w:rsidRPr="008E7BB7">
        <w:rPr>
          <w:rFonts w:ascii="Times New Roman" w:hAnsi="Times New Roman" w:cs="Times New Roman"/>
          <w:color w:val="000000" w:themeColor="text1"/>
          <w:sz w:val="24"/>
          <w:szCs w:val="24"/>
          <w:lang w:val="tr-TR"/>
        </w:rPr>
        <w:t>lerde uygunsuz</w:t>
      </w:r>
      <w:r w:rsidR="00547EDE" w:rsidRPr="008E7BB7">
        <w:rPr>
          <w:rFonts w:ascii="Times New Roman" w:hAnsi="Times New Roman" w:cs="Times New Roman"/>
          <w:color w:val="000000" w:themeColor="text1"/>
          <w:sz w:val="24"/>
          <w:szCs w:val="24"/>
          <w:lang w:val="tr-TR"/>
        </w:rPr>
        <w:t>luk</w:t>
      </w:r>
      <w:r w:rsidR="00AE697F" w:rsidRPr="008E7BB7">
        <w:rPr>
          <w:rFonts w:ascii="Times New Roman" w:hAnsi="Times New Roman" w:cs="Times New Roman"/>
          <w:color w:val="000000" w:themeColor="text1"/>
          <w:sz w:val="24"/>
          <w:szCs w:val="24"/>
          <w:lang w:val="tr-TR"/>
        </w:rPr>
        <w:t xml:space="preserve"> sayısının en yüksek olduğu</w:t>
      </w:r>
      <w:r w:rsidR="00793609" w:rsidRPr="008E7BB7">
        <w:rPr>
          <w:rFonts w:ascii="Times New Roman" w:hAnsi="Times New Roman" w:cs="Times New Roman"/>
          <w:color w:val="000000" w:themeColor="text1"/>
          <w:sz w:val="24"/>
          <w:szCs w:val="24"/>
          <w:lang w:val="tr-TR"/>
        </w:rPr>
        <w:t xml:space="preserve"> </w:t>
      </w:r>
      <w:r w:rsidR="00AB0B26" w:rsidRPr="008E7BB7">
        <w:rPr>
          <w:rFonts w:ascii="Times New Roman" w:hAnsi="Times New Roman" w:cs="Times New Roman"/>
          <w:color w:val="000000" w:themeColor="text1"/>
          <w:sz w:val="24"/>
          <w:szCs w:val="24"/>
          <w:lang w:val="tr-TR"/>
        </w:rPr>
        <w:t xml:space="preserve">ürün gruplarının sırasıyla </w:t>
      </w:r>
      <w:r w:rsidR="00350073" w:rsidRPr="008E7BB7">
        <w:rPr>
          <w:rFonts w:ascii="Times New Roman" w:hAnsi="Times New Roman" w:cs="Times New Roman"/>
          <w:color w:val="000000" w:themeColor="text1"/>
          <w:sz w:val="24"/>
          <w:szCs w:val="24"/>
          <w:lang w:val="tr-TR"/>
        </w:rPr>
        <w:t>hazır beton dışındaki yapı malzemeleri,</w:t>
      </w:r>
      <w:r w:rsidR="00837641" w:rsidRPr="008E7BB7">
        <w:rPr>
          <w:rFonts w:ascii="Times New Roman" w:hAnsi="Times New Roman" w:cs="Times New Roman"/>
          <w:color w:val="000000" w:themeColor="text1"/>
          <w:sz w:val="24"/>
          <w:szCs w:val="24"/>
          <w:lang w:val="tr-TR"/>
        </w:rPr>
        <w:t xml:space="preserve"> </w:t>
      </w:r>
      <w:r w:rsidR="0029146C" w:rsidRPr="008E7BB7">
        <w:rPr>
          <w:rFonts w:ascii="Times New Roman" w:hAnsi="Times New Roman" w:cs="Times New Roman"/>
          <w:color w:val="000000" w:themeColor="text1"/>
          <w:sz w:val="24"/>
          <w:szCs w:val="24"/>
          <w:lang w:val="tr-TR"/>
        </w:rPr>
        <w:t>yem, hazır</w:t>
      </w:r>
      <w:r w:rsidR="00837641" w:rsidRPr="008E7BB7">
        <w:rPr>
          <w:rFonts w:ascii="Times New Roman" w:hAnsi="Times New Roman" w:cs="Times New Roman"/>
          <w:color w:val="000000" w:themeColor="text1"/>
          <w:sz w:val="24"/>
          <w:szCs w:val="24"/>
          <w:lang w:val="tr-TR"/>
        </w:rPr>
        <w:t xml:space="preserve"> beton, </w:t>
      </w:r>
      <w:proofErr w:type="spellStart"/>
      <w:r w:rsidR="00350073" w:rsidRPr="008E7BB7">
        <w:rPr>
          <w:rFonts w:ascii="Times New Roman" w:hAnsi="Times New Roman" w:cs="Times New Roman"/>
          <w:color w:val="000000" w:themeColor="text1"/>
          <w:sz w:val="24"/>
          <w:szCs w:val="24"/>
          <w:lang w:val="tr-TR"/>
        </w:rPr>
        <w:t>biyosidal</w:t>
      </w:r>
      <w:proofErr w:type="spellEnd"/>
      <w:r w:rsidR="00350073" w:rsidRPr="008E7BB7">
        <w:rPr>
          <w:rFonts w:ascii="Times New Roman" w:hAnsi="Times New Roman" w:cs="Times New Roman"/>
          <w:color w:val="000000" w:themeColor="text1"/>
          <w:sz w:val="24"/>
          <w:szCs w:val="24"/>
          <w:lang w:val="tr-TR"/>
        </w:rPr>
        <w:t xml:space="preserve"> ürünler (tip 1 ve tip 19 hariç)</w:t>
      </w:r>
      <w:r w:rsidR="00837641" w:rsidRPr="008E7BB7">
        <w:rPr>
          <w:rFonts w:ascii="Times New Roman" w:hAnsi="Times New Roman" w:cs="Times New Roman"/>
          <w:color w:val="000000" w:themeColor="text1"/>
          <w:sz w:val="24"/>
          <w:szCs w:val="24"/>
          <w:lang w:val="tr-TR"/>
        </w:rPr>
        <w:t xml:space="preserve"> ve </w:t>
      </w:r>
      <w:proofErr w:type="spellStart"/>
      <w:r w:rsidR="00350073" w:rsidRPr="008E7BB7">
        <w:rPr>
          <w:rFonts w:ascii="Times New Roman" w:hAnsi="Times New Roman" w:cs="Times New Roman"/>
          <w:color w:val="000000" w:themeColor="text1"/>
          <w:sz w:val="24"/>
          <w:szCs w:val="24"/>
          <w:lang w:val="tr-TR"/>
        </w:rPr>
        <w:t>biyosidal</w:t>
      </w:r>
      <w:proofErr w:type="spellEnd"/>
      <w:r w:rsidR="00350073" w:rsidRPr="008E7BB7">
        <w:rPr>
          <w:rFonts w:ascii="Times New Roman" w:hAnsi="Times New Roman" w:cs="Times New Roman"/>
          <w:color w:val="000000" w:themeColor="text1"/>
          <w:sz w:val="24"/>
          <w:szCs w:val="24"/>
          <w:lang w:val="tr-TR"/>
        </w:rPr>
        <w:t xml:space="preserve"> ürünler (tip 1 ve tip 19) </w:t>
      </w:r>
      <w:r w:rsidR="0019429B" w:rsidRPr="008E7BB7">
        <w:rPr>
          <w:rFonts w:ascii="Times New Roman" w:hAnsi="Times New Roman" w:cs="Times New Roman"/>
          <w:color w:val="000000" w:themeColor="text1"/>
          <w:sz w:val="24"/>
          <w:szCs w:val="24"/>
          <w:lang w:val="tr-TR"/>
        </w:rPr>
        <w:t>ürün grupları</w:t>
      </w:r>
      <w:r w:rsidR="00AB0B26" w:rsidRPr="008E7BB7">
        <w:rPr>
          <w:rFonts w:ascii="Times New Roman" w:hAnsi="Times New Roman" w:cs="Times New Roman"/>
          <w:color w:val="000000" w:themeColor="text1"/>
          <w:sz w:val="24"/>
          <w:szCs w:val="24"/>
          <w:lang w:val="tr-TR"/>
        </w:rPr>
        <w:t xml:space="preserve"> olduğu görülmektedir. </w:t>
      </w:r>
    </w:p>
    <w:p w:rsidR="00373D85" w:rsidRPr="008E7BB7" w:rsidRDefault="00373D85" w:rsidP="00244917">
      <w:pPr>
        <w:spacing w:after="0" w:line="240" w:lineRule="auto"/>
        <w:jc w:val="both"/>
        <w:rPr>
          <w:rFonts w:ascii="Times New Roman" w:hAnsi="Times New Roman" w:cs="Times New Roman"/>
          <w:color w:val="000000" w:themeColor="text1"/>
          <w:sz w:val="24"/>
          <w:szCs w:val="24"/>
          <w:lang w:val="tr-TR"/>
        </w:rPr>
      </w:pPr>
    </w:p>
    <w:p w:rsidR="00373D85" w:rsidRPr="008E7BB7" w:rsidRDefault="00373D85"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color w:val="000000" w:themeColor="text1"/>
          <w:sz w:val="24"/>
          <w:szCs w:val="24"/>
          <w:lang w:val="tr-TR"/>
        </w:rPr>
        <w:t>Bununla birlikte, denetimlerin risk odaklı yürütülmesi ve güvensiz ürünlere hızlı bir şekilde ulaşılabilmesi bakımından şikâyet/ihbarlar son derece önemli veri kaynakları</w:t>
      </w:r>
      <w:r w:rsidR="00C5347A" w:rsidRPr="008E7BB7">
        <w:rPr>
          <w:rFonts w:ascii="Times New Roman" w:hAnsi="Times New Roman" w:cs="Times New Roman"/>
          <w:color w:val="000000" w:themeColor="text1"/>
          <w:sz w:val="24"/>
          <w:szCs w:val="24"/>
          <w:lang w:val="tr-TR"/>
        </w:rPr>
        <w:t xml:space="preserve"> olmasına rağmen ilgili dönemde herhangi bir </w:t>
      </w:r>
      <w:r w:rsidR="00DB27FE" w:rsidRPr="008E7BB7">
        <w:rPr>
          <w:rFonts w:ascii="Times New Roman" w:hAnsi="Times New Roman" w:cs="Times New Roman"/>
          <w:color w:val="000000" w:themeColor="text1"/>
          <w:sz w:val="24"/>
          <w:szCs w:val="24"/>
          <w:lang w:val="tr-TR"/>
        </w:rPr>
        <w:t>şikâyet</w:t>
      </w:r>
      <w:r w:rsidR="00C5347A" w:rsidRPr="008E7BB7">
        <w:rPr>
          <w:rFonts w:ascii="Times New Roman" w:hAnsi="Times New Roman" w:cs="Times New Roman"/>
          <w:color w:val="000000" w:themeColor="text1"/>
          <w:sz w:val="24"/>
          <w:szCs w:val="24"/>
          <w:lang w:val="tr-TR"/>
        </w:rPr>
        <w:t>/ihbar verisi temin edilememiştir.</w:t>
      </w:r>
    </w:p>
    <w:p w:rsidR="00C31BE9" w:rsidRPr="008E7BB7" w:rsidRDefault="00C31BE9" w:rsidP="00244917">
      <w:pPr>
        <w:spacing w:after="0" w:line="240" w:lineRule="auto"/>
        <w:jc w:val="both"/>
        <w:rPr>
          <w:rFonts w:ascii="Times New Roman" w:hAnsi="Times New Roman" w:cs="Times New Roman"/>
          <w:sz w:val="24"/>
          <w:szCs w:val="24"/>
          <w:lang w:val="tr-TR"/>
        </w:rPr>
      </w:pPr>
    </w:p>
    <w:p w:rsidR="00DE67C3" w:rsidRPr="008E7BB7" w:rsidRDefault="00DE67C3" w:rsidP="00244917">
      <w:pPr>
        <w:spacing w:after="0" w:line="240" w:lineRule="auto"/>
        <w:jc w:val="both"/>
        <w:rPr>
          <w:rFonts w:ascii="Times New Roman" w:hAnsi="Times New Roman" w:cs="Times New Roman"/>
          <w:sz w:val="24"/>
          <w:szCs w:val="24"/>
          <w:lang w:val="tr-TR"/>
        </w:rPr>
      </w:pPr>
    </w:p>
    <w:p w:rsidR="00D039F2" w:rsidRPr="008E7BB7" w:rsidRDefault="00B330A2" w:rsidP="00244917">
      <w:pPr>
        <w:spacing w:after="0" w:line="240" w:lineRule="auto"/>
        <w:jc w:val="both"/>
        <w:rPr>
          <w:rFonts w:ascii="Times New Roman" w:hAnsi="Times New Roman" w:cs="Times New Roman"/>
          <w:color w:val="000000" w:themeColor="text1"/>
          <w:sz w:val="24"/>
          <w:szCs w:val="24"/>
          <w:lang w:val="tr-TR"/>
        </w:rPr>
      </w:pPr>
      <w:r w:rsidRPr="008E7BB7">
        <w:rPr>
          <w:noProof/>
          <w:lang w:val="tr-TR" w:eastAsia="tr-TR"/>
        </w:rPr>
        <w:lastRenderedPageBreak/>
        <w:drawing>
          <wp:inline distT="0" distB="0" distL="0" distR="0" wp14:anchorId="21D7881F" wp14:editId="5665966F">
            <wp:extent cx="5760720" cy="3363402"/>
            <wp:effectExtent l="0" t="0" r="11430" b="8890"/>
            <wp:docPr id="14" name="Grafik 14">
              <a:extLst xmlns:a="http://schemas.openxmlformats.org/drawingml/2006/main">
                <a:ext uri="{FF2B5EF4-FFF2-40B4-BE49-F238E27FC236}">
                  <a16:creationId xmlns:a16="http://schemas.microsoft.com/office/drawing/2014/main" id="{00000000-0008-0000-00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0AF9" w:rsidRPr="008E7BB7" w:rsidRDefault="00540AF9" w:rsidP="00244917">
      <w:pPr>
        <w:spacing w:after="0" w:line="240" w:lineRule="auto"/>
        <w:jc w:val="both"/>
        <w:rPr>
          <w:rFonts w:ascii="Times New Roman" w:hAnsi="Times New Roman" w:cs="Times New Roman"/>
          <w:sz w:val="24"/>
          <w:szCs w:val="24"/>
          <w:lang w:val="tr-TR"/>
        </w:rPr>
      </w:pPr>
    </w:p>
    <w:p w:rsidR="00E34245" w:rsidRPr="008E7BB7" w:rsidRDefault="00350073"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sz w:val="24"/>
          <w:szCs w:val="24"/>
          <w:lang w:val="tr-TR"/>
        </w:rPr>
        <w:t xml:space="preserve">2021 yılı </w:t>
      </w:r>
      <w:r w:rsidR="00837641" w:rsidRPr="008E7BB7">
        <w:rPr>
          <w:rFonts w:ascii="Times New Roman" w:hAnsi="Times New Roman" w:cs="Times New Roman"/>
          <w:sz w:val="24"/>
          <w:szCs w:val="24"/>
          <w:lang w:val="tr-TR"/>
        </w:rPr>
        <w:t>üçüncü</w:t>
      </w:r>
      <w:r w:rsidRPr="008E7BB7">
        <w:rPr>
          <w:rFonts w:ascii="Times New Roman" w:hAnsi="Times New Roman" w:cs="Times New Roman"/>
          <w:sz w:val="24"/>
          <w:szCs w:val="24"/>
          <w:lang w:val="tr-TR"/>
        </w:rPr>
        <w:t xml:space="preserve"> üç ayında PGD kuruluşlarından yalnızca kırtasiye</w:t>
      </w:r>
      <w:r w:rsidR="00837641" w:rsidRPr="008E7BB7">
        <w:rPr>
          <w:rFonts w:ascii="Times New Roman" w:hAnsi="Times New Roman" w:cs="Times New Roman"/>
          <w:sz w:val="24"/>
          <w:szCs w:val="24"/>
          <w:lang w:val="tr-TR"/>
        </w:rPr>
        <w:t xml:space="preserve">, </w:t>
      </w:r>
      <w:r w:rsidR="00837641" w:rsidRPr="008E7BB7">
        <w:rPr>
          <w:rFonts w:ascii="Times New Roman" w:hAnsi="Times New Roman" w:cs="Times New Roman"/>
          <w:color w:val="000000" w:themeColor="text1"/>
          <w:sz w:val="24"/>
          <w:szCs w:val="24"/>
          <w:lang w:val="tr-TR"/>
        </w:rPr>
        <w:t xml:space="preserve">diğer tüketici ürünleri ve </w:t>
      </w:r>
      <w:r w:rsidR="00837641" w:rsidRPr="008E7BB7">
        <w:rPr>
          <w:rFonts w:ascii="Times New Roman" w:hAnsi="Times New Roman" w:cs="Times New Roman"/>
          <w:sz w:val="24"/>
          <w:szCs w:val="24"/>
          <w:lang w:val="tr-TR"/>
        </w:rPr>
        <w:t>oyuncaklara</w:t>
      </w:r>
      <w:r w:rsidRPr="008E7BB7">
        <w:rPr>
          <w:rFonts w:ascii="Times New Roman" w:hAnsi="Times New Roman" w:cs="Times New Roman"/>
          <w:sz w:val="24"/>
          <w:szCs w:val="24"/>
          <w:lang w:val="tr-TR"/>
        </w:rPr>
        <w:t xml:space="preserve"> yönelik ithal uygunsuzluk verisi temin edilmiştir. Bu kapsamda d</w:t>
      </w:r>
      <w:r w:rsidR="00E34245" w:rsidRPr="008E7BB7">
        <w:rPr>
          <w:rFonts w:ascii="Times New Roman" w:hAnsi="Times New Roman" w:cs="Times New Roman"/>
          <w:sz w:val="24"/>
          <w:szCs w:val="24"/>
          <w:lang w:val="tr-TR"/>
        </w:rPr>
        <w:t>enetlenen ithal ürünler içerisinde uygunsuzluk</w:t>
      </w:r>
      <w:r w:rsidR="00DA3567" w:rsidRPr="008E7BB7">
        <w:rPr>
          <w:rFonts w:ascii="Times New Roman" w:hAnsi="Times New Roman" w:cs="Times New Roman"/>
          <w:sz w:val="24"/>
          <w:szCs w:val="24"/>
          <w:lang w:val="tr-TR"/>
        </w:rPr>
        <w:t xml:space="preserve"> </w:t>
      </w:r>
      <w:r w:rsidR="0017326B" w:rsidRPr="008E7BB7">
        <w:rPr>
          <w:rFonts w:ascii="Times New Roman" w:hAnsi="Times New Roman" w:cs="Times New Roman"/>
          <w:sz w:val="24"/>
          <w:szCs w:val="24"/>
          <w:lang w:val="tr-TR"/>
        </w:rPr>
        <w:t>sayısı</w:t>
      </w:r>
      <w:r w:rsidR="002F655A" w:rsidRPr="008E7BB7">
        <w:rPr>
          <w:rFonts w:ascii="Times New Roman" w:hAnsi="Times New Roman" w:cs="Times New Roman"/>
          <w:sz w:val="24"/>
          <w:szCs w:val="24"/>
          <w:lang w:val="tr-TR"/>
        </w:rPr>
        <w:t>nın</w:t>
      </w:r>
      <w:r w:rsidR="00E34245" w:rsidRPr="008E7BB7">
        <w:rPr>
          <w:rFonts w:ascii="Times New Roman" w:hAnsi="Times New Roman" w:cs="Times New Roman"/>
          <w:sz w:val="24"/>
          <w:szCs w:val="24"/>
          <w:lang w:val="tr-TR"/>
        </w:rPr>
        <w:t xml:space="preserve"> en yüksek</w:t>
      </w:r>
      <w:r w:rsidR="002F655A" w:rsidRPr="008E7BB7">
        <w:rPr>
          <w:rFonts w:ascii="Times New Roman" w:hAnsi="Times New Roman" w:cs="Times New Roman"/>
          <w:sz w:val="24"/>
          <w:szCs w:val="24"/>
          <w:lang w:val="tr-TR"/>
        </w:rPr>
        <w:t xml:space="preserve"> olduğu</w:t>
      </w:r>
      <w:r w:rsidR="00E34245" w:rsidRPr="008E7BB7">
        <w:rPr>
          <w:rFonts w:ascii="Times New Roman" w:hAnsi="Times New Roman" w:cs="Times New Roman"/>
          <w:sz w:val="24"/>
          <w:szCs w:val="24"/>
          <w:lang w:val="tr-TR"/>
        </w:rPr>
        <w:t xml:space="preserve"> ürün grupları</w:t>
      </w:r>
      <w:r w:rsidR="0017326B" w:rsidRPr="008E7BB7">
        <w:rPr>
          <w:rFonts w:ascii="Times New Roman" w:hAnsi="Times New Roman" w:cs="Times New Roman"/>
          <w:sz w:val="24"/>
          <w:szCs w:val="24"/>
          <w:lang w:val="tr-TR"/>
        </w:rPr>
        <w:t xml:space="preserve">nın sırasıyla </w:t>
      </w:r>
      <w:r w:rsidRPr="008E7BB7">
        <w:rPr>
          <w:rFonts w:ascii="Times New Roman" w:hAnsi="Times New Roman" w:cs="Times New Roman"/>
          <w:sz w:val="24"/>
          <w:szCs w:val="24"/>
          <w:lang w:val="tr-TR"/>
        </w:rPr>
        <w:t>kırtasiye (</w:t>
      </w:r>
      <w:r w:rsidR="00837641" w:rsidRPr="008E7BB7">
        <w:rPr>
          <w:rFonts w:ascii="Times New Roman" w:hAnsi="Times New Roman" w:cs="Times New Roman"/>
          <w:sz w:val="24"/>
          <w:szCs w:val="24"/>
          <w:lang w:val="tr-TR"/>
        </w:rPr>
        <w:t>19</w:t>
      </w:r>
      <w:r w:rsidRPr="008E7BB7">
        <w:rPr>
          <w:rFonts w:ascii="Times New Roman" w:hAnsi="Times New Roman" w:cs="Times New Roman"/>
          <w:sz w:val="24"/>
          <w:szCs w:val="24"/>
          <w:lang w:val="tr-TR"/>
        </w:rPr>
        <w:t xml:space="preserve"> ürün partisi)</w:t>
      </w:r>
      <w:r w:rsidR="00837641" w:rsidRPr="008E7BB7">
        <w:rPr>
          <w:rFonts w:ascii="Times New Roman" w:hAnsi="Times New Roman" w:cs="Times New Roman"/>
          <w:sz w:val="24"/>
          <w:szCs w:val="24"/>
          <w:lang w:val="tr-TR"/>
        </w:rPr>
        <w:t xml:space="preserve">, </w:t>
      </w:r>
      <w:r w:rsidR="00837641" w:rsidRPr="008E7BB7">
        <w:rPr>
          <w:rFonts w:ascii="Times New Roman" w:hAnsi="Times New Roman" w:cs="Times New Roman"/>
          <w:color w:val="000000" w:themeColor="text1"/>
          <w:sz w:val="24"/>
          <w:szCs w:val="24"/>
          <w:lang w:val="tr-TR"/>
        </w:rPr>
        <w:t>diğer tüketici ürünleri (</w:t>
      </w:r>
      <w:r w:rsidR="008D0F29" w:rsidRPr="008E7BB7">
        <w:rPr>
          <w:rFonts w:ascii="Times New Roman" w:hAnsi="Times New Roman" w:cs="Times New Roman"/>
          <w:sz w:val="24"/>
          <w:szCs w:val="24"/>
          <w:lang w:val="tr-TR"/>
        </w:rPr>
        <w:t>2</w:t>
      </w:r>
      <w:r w:rsidR="00837641" w:rsidRPr="008E7BB7">
        <w:rPr>
          <w:rFonts w:ascii="Times New Roman" w:hAnsi="Times New Roman" w:cs="Times New Roman"/>
          <w:sz w:val="24"/>
          <w:szCs w:val="24"/>
          <w:lang w:val="tr-TR"/>
        </w:rPr>
        <w:t xml:space="preserve"> ürün partisi)</w:t>
      </w:r>
      <w:r w:rsidRPr="008E7BB7">
        <w:rPr>
          <w:rFonts w:ascii="Times New Roman" w:hAnsi="Times New Roman" w:cs="Times New Roman"/>
          <w:sz w:val="24"/>
          <w:szCs w:val="24"/>
          <w:lang w:val="tr-TR"/>
        </w:rPr>
        <w:t xml:space="preserve"> ve </w:t>
      </w:r>
      <w:r w:rsidR="00837641" w:rsidRPr="008E7BB7">
        <w:rPr>
          <w:rFonts w:ascii="Times New Roman" w:hAnsi="Times New Roman" w:cs="Times New Roman"/>
          <w:color w:val="000000" w:themeColor="text1"/>
          <w:sz w:val="24"/>
          <w:szCs w:val="24"/>
          <w:lang w:val="tr-TR"/>
        </w:rPr>
        <w:t>oyuncaklar</w:t>
      </w:r>
      <w:r w:rsidRPr="008E7BB7">
        <w:rPr>
          <w:rFonts w:ascii="Times New Roman" w:hAnsi="Times New Roman" w:cs="Times New Roman"/>
          <w:color w:val="000000" w:themeColor="text1"/>
          <w:sz w:val="24"/>
          <w:szCs w:val="24"/>
          <w:lang w:val="tr-TR"/>
        </w:rPr>
        <w:t xml:space="preserve"> (</w:t>
      </w:r>
      <w:r w:rsidR="00837641" w:rsidRPr="008E7BB7">
        <w:rPr>
          <w:rFonts w:ascii="Times New Roman" w:hAnsi="Times New Roman" w:cs="Times New Roman"/>
          <w:color w:val="000000" w:themeColor="text1"/>
          <w:sz w:val="24"/>
          <w:szCs w:val="24"/>
          <w:lang w:val="tr-TR"/>
        </w:rPr>
        <w:t>1</w:t>
      </w:r>
      <w:r w:rsidRPr="008E7BB7">
        <w:rPr>
          <w:rFonts w:ascii="Times New Roman" w:hAnsi="Times New Roman" w:cs="Times New Roman"/>
          <w:color w:val="000000" w:themeColor="text1"/>
          <w:sz w:val="24"/>
          <w:szCs w:val="24"/>
          <w:lang w:val="tr-TR"/>
        </w:rPr>
        <w:t xml:space="preserve"> ürün partisi) </w:t>
      </w:r>
      <w:r w:rsidR="0017326B" w:rsidRPr="008E7BB7">
        <w:rPr>
          <w:rFonts w:ascii="Times New Roman" w:hAnsi="Times New Roman" w:cs="Times New Roman"/>
          <w:color w:val="000000" w:themeColor="text1"/>
          <w:sz w:val="24"/>
          <w:szCs w:val="24"/>
          <w:lang w:val="tr-TR"/>
        </w:rPr>
        <w:t xml:space="preserve">olduğu görülmektedir. </w:t>
      </w:r>
    </w:p>
    <w:p w:rsidR="00DB27FE" w:rsidRPr="008E7BB7" w:rsidRDefault="00DB27FE" w:rsidP="00244917">
      <w:pPr>
        <w:spacing w:after="0" w:line="240" w:lineRule="auto"/>
        <w:jc w:val="both"/>
        <w:rPr>
          <w:rFonts w:ascii="Times New Roman" w:hAnsi="Times New Roman" w:cs="Times New Roman"/>
          <w:color w:val="000000" w:themeColor="text1"/>
          <w:sz w:val="24"/>
          <w:szCs w:val="24"/>
          <w:lang w:val="tr-TR"/>
        </w:rPr>
      </w:pPr>
    </w:p>
    <w:p w:rsidR="00491E53" w:rsidRPr="008E7BB7" w:rsidRDefault="00B330A2" w:rsidP="00244917">
      <w:pPr>
        <w:spacing w:after="0" w:line="240" w:lineRule="auto"/>
        <w:jc w:val="both"/>
        <w:rPr>
          <w:lang w:val="tr-TR"/>
        </w:rPr>
      </w:pPr>
      <w:r w:rsidRPr="008E7BB7">
        <w:rPr>
          <w:noProof/>
          <w:lang w:val="tr-TR" w:eastAsia="tr-TR"/>
        </w:rPr>
        <w:drawing>
          <wp:inline distT="0" distB="0" distL="0" distR="0" wp14:anchorId="322D54E0" wp14:editId="6321F42F">
            <wp:extent cx="5743576" cy="4171950"/>
            <wp:effectExtent l="0" t="0" r="9525" b="0"/>
            <wp:docPr id="15" name="Grafik 15">
              <a:extLst xmlns:a="http://schemas.openxmlformats.org/drawingml/2006/main">
                <a:ext uri="{FF2B5EF4-FFF2-40B4-BE49-F238E27FC236}">
                  <a16:creationId xmlns:a16="http://schemas.microsoft.com/office/drawing/2014/main" id="{00000000-0008-0000-00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37641" w:rsidRDefault="00350073" w:rsidP="00244917">
      <w:pPr>
        <w:spacing w:after="0" w:line="240" w:lineRule="auto"/>
        <w:jc w:val="both"/>
        <w:rPr>
          <w:rFonts w:ascii="Times New Roman" w:hAnsi="Times New Roman" w:cs="Times New Roman"/>
          <w:sz w:val="24"/>
          <w:szCs w:val="24"/>
          <w:lang w:val="tr-TR"/>
        </w:rPr>
      </w:pPr>
      <w:bookmarkStart w:id="1" w:name="_Hlk88140237"/>
      <w:r w:rsidRPr="008E7BB7">
        <w:rPr>
          <w:rFonts w:ascii="Times New Roman" w:hAnsi="Times New Roman" w:cs="Times New Roman"/>
          <w:sz w:val="24"/>
          <w:szCs w:val="24"/>
          <w:lang w:val="tr-TR"/>
        </w:rPr>
        <w:lastRenderedPageBreak/>
        <w:t>2021</w:t>
      </w:r>
      <w:r w:rsidR="00E34245" w:rsidRPr="008E7BB7">
        <w:rPr>
          <w:rFonts w:ascii="Times New Roman" w:hAnsi="Times New Roman" w:cs="Times New Roman"/>
          <w:sz w:val="24"/>
          <w:szCs w:val="24"/>
          <w:lang w:val="tr-TR"/>
        </w:rPr>
        <w:t xml:space="preserve"> yılı</w:t>
      </w:r>
      <w:r w:rsidR="00837641" w:rsidRPr="008E7BB7">
        <w:rPr>
          <w:rFonts w:ascii="Times New Roman" w:hAnsi="Times New Roman" w:cs="Times New Roman"/>
          <w:sz w:val="24"/>
          <w:szCs w:val="24"/>
          <w:lang w:val="tr-TR"/>
        </w:rPr>
        <w:t xml:space="preserve"> üçüncü</w:t>
      </w:r>
      <w:r w:rsidR="003C75B5" w:rsidRPr="008E7BB7">
        <w:rPr>
          <w:rFonts w:ascii="Times New Roman" w:hAnsi="Times New Roman" w:cs="Times New Roman"/>
          <w:sz w:val="24"/>
          <w:szCs w:val="24"/>
          <w:lang w:val="tr-TR"/>
        </w:rPr>
        <w:t xml:space="preserve"> </w:t>
      </w:r>
      <w:r w:rsidR="00A235A2" w:rsidRPr="008E7BB7">
        <w:rPr>
          <w:rFonts w:ascii="Times New Roman" w:hAnsi="Times New Roman" w:cs="Times New Roman"/>
          <w:sz w:val="24"/>
          <w:szCs w:val="24"/>
          <w:lang w:val="tr-TR"/>
        </w:rPr>
        <w:t>üç</w:t>
      </w:r>
      <w:r w:rsidR="003D1330" w:rsidRPr="008E7BB7">
        <w:rPr>
          <w:rFonts w:ascii="Times New Roman" w:hAnsi="Times New Roman" w:cs="Times New Roman"/>
          <w:sz w:val="24"/>
          <w:szCs w:val="24"/>
          <w:lang w:val="tr-TR"/>
        </w:rPr>
        <w:t xml:space="preserve"> </w:t>
      </w:r>
      <w:r w:rsidR="00A235A2" w:rsidRPr="008E7BB7">
        <w:rPr>
          <w:rFonts w:ascii="Times New Roman" w:hAnsi="Times New Roman" w:cs="Times New Roman"/>
          <w:sz w:val="24"/>
          <w:szCs w:val="24"/>
          <w:lang w:val="tr-TR"/>
        </w:rPr>
        <w:t>ayında</w:t>
      </w:r>
      <w:r w:rsidRPr="008E7BB7">
        <w:rPr>
          <w:rFonts w:ascii="Times New Roman" w:hAnsi="Times New Roman" w:cs="Times New Roman"/>
          <w:sz w:val="24"/>
          <w:szCs w:val="24"/>
          <w:lang w:val="tr-TR"/>
        </w:rPr>
        <w:t xml:space="preserve">, hazır betonda </w:t>
      </w:r>
      <w:r w:rsidR="00837641" w:rsidRPr="008E7BB7">
        <w:rPr>
          <w:rFonts w:ascii="Times New Roman" w:hAnsi="Times New Roman" w:cs="Times New Roman"/>
          <w:sz w:val="24"/>
          <w:szCs w:val="24"/>
          <w:lang w:val="tr-TR"/>
        </w:rPr>
        <w:t>18, tekstil ürünlerinde 15, kırtasiye ürünlerinde 14, diğer tüketici ürünlerinde 5, kişisel koruyucu donanımlarda 4, deterjanlarda 2, ayakkabıda 1 ve</w:t>
      </w:r>
      <w:r w:rsidRPr="008E7BB7">
        <w:rPr>
          <w:rFonts w:ascii="Times New Roman" w:hAnsi="Times New Roman" w:cs="Times New Roman"/>
          <w:sz w:val="24"/>
          <w:szCs w:val="24"/>
          <w:lang w:val="tr-TR"/>
        </w:rPr>
        <w:t xml:space="preserve"> oyuncaklarda </w:t>
      </w:r>
      <w:r w:rsidR="00837641" w:rsidRPr="008E7BB7">
        <w:rPr>
          <w:rFonts w:ascii="Times New Roman" w:hAnsi="Times New Roman" w:cs="Times New Roman"/>
          <w:sz w:val="24"/>
          <w:szCs w:val="24"/>
          <w:lang w:val="tr-TR"/>
        </w:rPr>
        <w:t>1</w:t>
      </w:r>
      <w:r w:rsidRPr="008E7BB7">
        <w:rPr>
          <w:rFonts w:ascii="Times New Roman" w:hAnsi="Times New Roman" w:cs="Times New Roman"/>
          <w:sz w:val="24"/>
          <w:szCs w:val="24"/>
          <w:lang w:val="tr-TR"/>
        </w:rPr>
        <w:t xml:space="preserve"> </w:t>
      </w:r>
      <w:r w:rsidR="003D1330" w:rsidRPr="008E7BB7">
        <w:rPr>
          <w:rFonts w:ascii="Times New Roman" w:hAnsi="Times New Roman" w:cs="Times New Roman"/>
          <w:color w:val="000000" w:themeColor="text1"/>
          <w:sz w:val="24"/>
          <w:szCs w:val="24"/>
          <w:lang w:val="tr-TR"/>
        </w:rPr>
        <w:t>ürün partisinde</w:t>
      </w:r>
      <w:r w:rsidR="00837641" w:rsidRPr="008E7BB7">
        <w:rPr>
          <w:rFonts w:ascii="Times New Roman" w:hAnsi="Times New Roman" w:cs="Times New Roman"/>
          <w:sz w:val="24"/>
          <w:szCs w:val="24"/>
          <w:lang w:val="tr-TR"/>
        </w:rPr>
        <w:t xml:space="preserve"> </w:t>
      </w:r>
      <w:r w:rsidR="00E34245" w:rsidRPr="008E7BB7">
        <w:rPr>
          <w:rFonts w:ascii="Times New Roman" w:hAnsi="Times New Roman" w:cs="Times New Roman"/>
          <w:sz w:val="24"/>
          <w:szCs w:val="24"/>
          <w:lang w:val="tr-TR"/>
        </w:rPr>
        <w:t>güvensizlik</w:t>
      </w:r>
      <w:r w:rsidR="003D1330" w:rsidRPr="008E7BB7">
        <w:rPr>
          <w:rFonts w:ascii="Times New Roman" w:hAnsi="Times New Roman" w:cs="Times New Roman"/>
          <w:sz w:val="24"/>
          <w:szCs w:val="24"/>
          <w:lang w:val="tr-TR"/>
        </w:rPr>
        <w:t xml:space="preserve"> </w:t>
      </w:r>
      <w:r w:rsidR="00E34245" w:rsidRPr="008E7BB7">
        <w:rPr>
          <w:rFonts w:ascii="Times New Roman" w:hAnsi="Times New Roman" w:cs="Times New Roman"/>
          <w:sz w:val="24"/>
          <w:szCs w:val="24"/>
          <w:lang w:val="tr-TR"/>
        </w:rPr>
        <w:t>tespit</w:t>
      </w:r>
      <w:r w:rsidR="003D1330" w:rsidRPr="008E7BB7">
        <w:rPr>
          <w:rFonts w:ascii="Times New Roman" w:hAnsi="Times New Roman" w:cs="Times New Roman"/>
          <w:sz w:val="24"/>
          <w:szCs w:val="24"/>
          <w:lang w:val="tr-TR"/>
        </w:rPr>
        <w:t xml:space="preserve"> </w:t>
      </w:r>
      <w:r w:rsidR="00E34245" w:rsidRPr="008E7BB7">
        <w:rPr>
          <w:rFonts w:ascii="Times New Roman" w:hAnsi="Times New Roman" w:cs="Times New Roman"/>
          <w:sz w:val="24"/>
          <w:szCs w:val="24"/>
          <w:lang w:val="tr-TR"/>
        </w:rPr>
        <w:t>edilmiştir.</w:t>
      </w:r>
    </w:p>
    <w:p w:rsidR="00244917" w:rsidRPr="008E7BB7" w:rsidRDefault="00244917" w:rsidP="00244917">
      <w:pPr>
        <w:spacing w:after="0" w:line="240" w:lineRule="auto"/>
        <w:jc w:val="both"/>
        <w:rPr>
          <w:rFonts w:ascii="Times New Roman" w:hAnsi="Times New Roman" w:cs="Times New Roman"/>
          <w:sz w:val="24"/>
          <w:szCs w:val="24"/>
          <w:lang w:val="tr-TR"/>
        </w:rPr>
      </w:pPr>
    </w:p>
    <w:bookmarkEnd w:id="1"/>
    <w:p w:rsidR="0011125B" w:rsidRPr="008E7BB7" w:rsidRDefault="00390EAF"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Bununla birlikte,</w:t>
      </w:r>
      <w:r w:rsidR="00A72B26" w:rsidRPr="008E7BB7">
        <w:rPr>
          <w:rFonts w:ascii="Times New Roman" w:hAnsi="Times New Roman" w:cs="Times New Roman"/>
          <w:sz w:val="24"/>
          <w:szCs w:val="24"/>
          <w:lang w:val="tr-TR"/>
        </w:rPr>
        <w:t xml:space="preserve"> PGD kuruluşlarından yalnızca </w:t>
      </w:r>
      <w:r w:rsidR="006D0D18" w:rsidRPr="008E7BB7">
        <w:rPr>
          <w:rFonts w:ascii="Times New Roman" w:hAnsi="Times New Roman" w:cs="Times New Roman"/>
          <w:sz w:val="24"/>
          <w:szCs w:val="24"/>
          <w:lang w:val="tr-TR"/>
        </w:rPr>
        <w:t xml:space="preserve">kırtasiye ve </w:t>
      </w:r>
      <w:r w:rsidR="00A72B26" w:rsidRPr="008E7BB7">
        <w:rPr>
          <w:rFonts w:ascii="Times New Roman" w:hAnsi="Times New Roman" w:cs="Times New Roman"/>
          <w:sz w:val="24"/>
          <w:szCs w:val="24"/>
          <w:lang w:val="tr-TR"/>
        </w:rPr>
        <w:t>oyuncak ürün gru</w:t>
      </w:r>
      <w:r w:rsidR="006D0D18" w:rsidRPr="008E7BB7">
        <w:rPr>
          <w:rFonts w:ascii="Times New Roman" w:hAnsi="Times New Roman" w:cs="Times New Roman"/>
          <w:sz w:val="24"/>
          <w:szCs w:val="24"/>
          <w:lang w:val="tr-TR"/>
        </w:rPr>
        <w:t>plarına</w:t>
      </w:r>
      <w:r w:rsidR="00A72B26" w:rsidRPr="008E7BB7">
        <w:rPr>
          <w:rFonts w:ascii="Times New Roman" w:hAnsi="Times New Roman" w:cs="Times New Roman"/>
          <w:sz w:val="24"/>
          <w:szCs w:val="24"/>
          <w:lang w:val="tr-TR"/>
        </w:rPr>
        <w:t xml:space="preserve"> yönelik ithal güvensizlik verisi temin edilmiştir. </w:t>
      </w:r>
      <w:r w:rsidR="00021143" w:rsidRPr="008E7BB7">
        <w:rPr>
          <w:rFonts w:ascii="Times New Roman" w:hAnsi="Times New Roman" w:cs="Times New Roman"/>
          <w:sz w:val="24"/>
          <w:szCs w:val="24"/>
          <w:lang w:val="tr-TR"/>
        </w:rPr>
        <w:t xml:space="preserve"> </w:t>
      </w:r>
      <w:r w:rsidR="00A72B26" w:rsidRPr="008E7BB7">
        <w:rPr>
          <w:rFonts w:ascii="Times New Roman" w:hAnsi="Times New Roman" w:cs="Times New Roman"/>
          <w:sz w:val="24"/>
          <w:szCs w:val="24"/>
          <w:lang w:val="tr-TR"/>
        </w:rPr>
        <w:t>Denetlenen</w:t>
      </w:r>
      <w:r w:rsidR="00021143" w:rsidRPr="008E7BB7">
        <w:rPr>
          <w:rFonts w:ascii="Times New Roman" w:hAnsi="Times New Roman" w:cs="Times New Roman"/>
          <w:sz w:val="24"/>
          <w:szCs w:val="24"/>
          <w:lang w:val="tr-TR"/>
        </w:rPr>
        <w:t xml:space="preserve"> ithal ürünl</w:t>
      </w:r>
      <w:r w:rsidR="00A235A2" w:rsidRPr="008E7BB7">
        <w:rPr>
          <w:rFonts w:ascii="Times New Roman" w:hAnsi="Times New Roman" w:cs="Times New Roman"/>
          <w:sz w:val="24"/>
          <w:szCs w:val="24"/>
          <w:lang w:val="tr-TR"/>
        </w:rPr>
        <w:t xml:space="preserve">erden </w:t>
      </w:r>
      <w:r w:rsidR="006D0D18" w:rsidRPr="008E7BB7">
        <w:rPr>
          <w:rFonts w:ascii="Times New Roman" w:hAnsi="Times New Roman" w:cs="Times New Roman"/>
          <w:sz w:val="24"/>
          <w:szCs w:val="24"/>
          <w:lang w:val="tr-TR"/>
        </w:rPr>
        <w:t xml:space="preserve">kırtasiye ürünlerinde 7 ve </w:t>
      </w:r>
      <w:r w:rsidR="00A72B26" w:rsidRPr="008E7BB7">
        <w:rPr>
          <w:rFonts w:ascii="Times New Roman" w:hAnsi="Times New Roman" w:cs="Times New Roman"/>
          <w:sz w:val="24"/>
          <w:szCs w:val="24"/>
          <w:lang w:val="tr-TR"/>
        </w:rPr>
        <w:t>oyuncaklarda</w:t>
      </w:r>
      <w:r w:rsidR="00743E89" w:rsidRPr="008E7BB7">
        <w:rPr>
          <w:rFonts w:ascii="Times New Roman" w:hAnsi="Times New Roman" w:cs="Times New Roman"/>
          <w:sz w:val="24"/>
          <w:szCs w:val="24"/>
          <w:lang w:val="tr-TR"/>
        </w:rPr>
        <w:t xml:space="preserve"> </w:t>
      </w:r>
      <w:r w:rsidR="006D0D18" w:rsidRPr="008E7BB7">
        <w:rPr>
          <w:rFonts w:ascii="Times New Roman" w:hAnsi="Times New Roman" w:cs="Times New Roman"/>
          <w:sz w:val="24"/>
          <w:szCs w:val="24"/>
          <w:lang w:val="tr-TR"/>
        </w:rPr>
        <w:t>1</w:t>
      </w:r>
      <w:r w:rsidR="00743E89" w:rsidRPr="008E7BB7">
        <w:rPr>
          <w:rFonts w:ascii="Times New Roman" w:hAnsi="Times New Roman" w:cs="Times New Roman"/>
          <w:sz w:val="24"/>
          <w:szCs w:val="24"/>
          <w:lang w:val="tr-TR"/>
        </w:rPr>
        <w:t xml:space="preserve"> ürün partisinde g</w:t>
      </w:r>
      <w:r w:rsidR="003C75B5" w:rsidRPr="008E7BB7">
        <w:rPr>
          <w:rFonts w:ascii="Times New Roman" w:hAnsi="Times New Roman" w:cs="Times New Roman"/>
          <w:sz w:val="24"/>
          <w:szCs w:val="24"/>
          <w:lang w:val="tr-TR"/>
        </w:rPr>
        <w:t>üvensizlik tespit edilmiştir.</w:t>
      </w:r>
      <w:r w:rsidR="00021143" w:rsidRPr="008E7BB7">
        <w:rPr>
          <w:rFonts w:ascii="Times New Roman" w:hAnsi="Times New Roman" w:cs="Times New Roman"/>
          <w:sz w:val="24"/>
          <w:szCs w:val="24"/>
          <w:lang w:val="tr-TR"/>
        </w:rPr>
        <w:t xml:space="preserve"> Söz konusu </w:t>
      </w:r>
      <w:r w:rsidR="003C75B5" w:rsidRPr="008E7BB7">
        <w:rPr>
          <w:rFonts w:ascii="Times New Roman" w:hAnsi="Times New Roman" w:cs="Times New Roman"/>
          <w:sz w:val="24"/>
          <w:szCs w:val="24"/>
          <w:lang w:val="tr-TR"/>
        </w:rPr>
        <w:t xml:space="preserve">güvensizlik </w:t>
      </w:r>
      <w:r w:rsidR="00021143" w:rsidRPr="008E7BB7">
        <w:rPr>
          <w:rFonts w:ascii="Times New Roman" w:hAnsi="Times New Roman" w:cs="Times New Roman"/>
          <w:sz w:val="24"/>
          <w:szCs w:val="24"/>
          <w:lang w:val="tr-TR"/>
        </w:rPr>
        <w:t>veriler</w:t>
      </w:r>
      <w:r w:rsidR="003C75B5" w:rsidRPr="008E7BB7">
        <w:rPr>
          <w:rFonts w:ascii="Times New Roman" w:hAnsi="Times New Roman" w:cs="Times New Roman"/>
          <w:sz w:val="24"/>
          <w:szCs w:val="24"/>
          <w:lang w:val="tr-TR"/>
        </w:rPr>
        <w:t>i</w:t>
      </w:r>
      <w:r w:rsidR="00021143" w:rsidRPr="008E7BB7">
        <w:rPr>
          <w:rFonts w:ascii="Times New Roman" w:hAnsi="Times New Roman" w:cs="Times New Roman"/>
          <w:sz w:val="24"/>
          <w:szCs w:val="24"/>
          <w:lang w:val="tr-TR"/>
        </w:rPr>
        <w:t xml:space="preserve"> ithalat denetimlerinin yönlendirilmesinde de etkin rol oynamaktadır.</w:t>
      </w:r>
    </w:p>
    <w:p w:rsidR="003C75B5" w:rsidRPr="008E7BB7" w:rsidRDefault="003C75B5" w:rsidP="00244917">
      <w:pPr>
        <w:spacing w:after="0" w:line="240" w:lineRule="auto"/>
        <w:jc w:val="both"/>
        <w:rPr>
          <w:rFonts w:ascii="Times New Roman" w:hAnsi="Times New Roman" w:cs="Times New Roman"/>
          <w:color w:val="000000" w:themeColor="text1"/>
          <w:sz w:val="24"/>
          <w:szCs w:val="24"/>
          <w:lang w:val="tr-TR"/>
        </w:rPr>
      </w:pPr>
    </w:p>
    <w:p w:rsidR="00D039F2" w:rsidRPr="008E7BB7" w:rsidRDefault="00D039F2" w:rsidP="00244917">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DİĞER VERİLER</w:t>
      </w:r>
    </w:p>
    <w:p w:rsidR="0011125B" w:rsidRPr="008E7BB7" w:rsidRDefault="0011125B" w:rsidP="00244917">
      <w:pPr>
        <w:pStyle w:val="ListeParagraf"/>
        <w:spacing w:after="0" w:line="240" w:lineRule="auto"/>
        <w:jc w:val="both"/>
        <w:rPr>
          <w:rFonts w:ascii="Times New Roman" w:hAnsi="Times New Roman" w:cs="Times New Roman"/>
          <w:b/>
          <w:color w:val="C00000"/>
          <w:sz w:val="24"/>
          <w:szCs w:val="24"/>
          <w:lang w:val="tr-TR"/>
        </w:rPr>
      </w:pPr>
    </w:p>
    <w:p w:rsidR="00873A82" w:rsidRPr="008E7BB7" w:rsidRDefault="00873A82"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color w:val="000000" w:themeColor="text1"/>
          <w:sz w:val="24"/>
          <w:szCs w:val="24"/>
          <w:lang w:val="tr-TR"/>
        </w:rPr>
        <w:t>Diğer verilerle çeşitli nedenlerle karşılaştırılamadığı için yukarıda</w:t>
      </w:r>
      <w:r w:rsidR="00D039F2" w:rsidRPr="008E7BB7">
        <w:rPr>
          <w:rFonts w:ascii="Times New Roman" w:hAnsi="Times New Roman" w:cs="Times New Roman"/>
          <w:color w:val="000000" w:themeColor="text1"/>
          <w:sz w:val="24"/>
          <w:szCs w:val="24"/>
          <w:lang w:val="tr-TR"/>
        </w:rPr>
        <w:t>ki bölümlerde</w:t>
      </w:r>
      <w:r w:rsidRPr="008E7BB7">
        <w:rPr>
          <w:rFonts w:ascii="Times New Roman" w:hAnsi="Times New Roman" w:cs="Times New Roman"/>
          <w:color w:val="000000" w:themeColor="text1"/>
          <w:sz w:val="24"/>
          <w:szCs w:val="24"/>
          <w:lang w:val="tr-TR"/>
        </w:rPr>
        <w:t xml:space="preserve"> yer alan değe</w:t>
      </w:r>
      <w:r w:rsidR="00D039F2" w:rsidRPr="008E7BB7">
        <w:rPr>
          <w:rFonts w:ascii="Times New Roman" w:hAnsi="Times New Roman" w:cs="Times New Roman"/>
          <w:color w:val="000000" w:themeColor="text1"/>
          <w:sz w:val="24"/>
          <w:szCs w:val="24"/>
          <w:lang w:val="tr-TR"/>
        </w:rPr>
        <w:t xml:space="preserve">rlendirmelere dâhil edilemeyen </w:t>
      </w:r>
      <w:r w:rsidRPr="008E7BB7">
        <w:rPr>
          <w:rFonts w:ascii="Times New Roman" w:hAnsi="Times New Roman" w:cs="Times New Roman"/>
          <w:color w:val="000000" w:themeColor="text1"/>
          <w:sz w:val="24"/>
          <w:szCs w:val="24"/>
          <w:lang w:val="tr-TR"/>
        </w:rPr>
        <w:t>denetim sonuçları ise aşağıda yer almaktadır.</w:t>
      </w:r>
    </w:p>
    <w:p w:rsidR="00AB3D1C" w:rsidRPr="008E7BB7" w:rsidRDefault="00AB3D1C" w:rsidP="00244917">
      <w:pPr>
        <w:spacing w:after="0" w:line="240" w:lineRule="auto"/>
        <w:jc w:val="both"/>
        <w:rPr>
          <w:rFonts w:ascii="Times New Roman" w:hAnsi="Times New Roman" w:cs="Times New Roman"/>
          <w:color w:val="000000" w:themeColor="text1"/>
          <w:sz w:val="24"/>
          <w:szCs w:val="24"/>
          <w:lang w:val="tr-TR"/>
        </w:rPr>
      </w:pPr>
    </w:p>
    <w:p w:rsidR="0011125B" w:rsidRPr="008E7BB7" w:rsidRDefault="00500E55"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color w:val="000000" w:themeColor="text1"/>
          <w:sz w:val="24"/>
          <w:szCs w:val="24"/>
          <w:lang w:val="tr-TR"/>
        </w:rPr>
        <w:t xml:space="preserve">Rapor kapsamı dönemde </w:t>
      </w:r>
      <w:r w:rsidR="002612EE" w:rsidRPr="008E7BB7">
        <w:rPr>
          <w:rFonts w:ascii="Times New Roman" w:hAnsi="Times New Roman" w:cs="Times New Roman"/>
          <w:color w:val="000000" w:themeColor="text1"/>
          <w:sz w:val="24"/>
          <w:szCs w:val="24"/>
          <w:lang w:val="tr-TR"/>
        </w:rPr>
        <w:t>TOB tarafından</w:t>
      </w:r>
      <w:r w:rsidR="00B82971" w:rsidRPr="008E7BB7">
        <w:rPr>
          <w:rFonts w:ascii="Times New Roman" w:hAnsi="Times New Roman" w:cs="Times New Roman"/>
          <w:color w:val="000000" w:themeColor="text1"/>
          <w:sz w:val="24"/>
          <w:szCs w:val="24"/>
          <w:lang w:val="tr-TR"/>
        </w:rPr>
        <w:t>,</w:t>
      </w:r>
      <w:r w:rsidR="000A096F" w:rsidRPr="008E7BB7">
        <w:rPr>
          <w:rFonts w:ascii="Times New Roman" w:hAnsi="Times New Roman" w:cs="Times New Roman"/>
          <w:color w:val="000000" w:themeColor="text1"/>
          <w:sz w:val="24"/>
          <w:szCs w:val="24"/>
          <w:lang w:val="tr-TR"/>
        </w:rPr>
        <w:t xml:space="preserve"> </w:t>
      </w:r>
      <w:r w:rsidR="00873A82" w:rsidRPr="008E7BB7">
        <w:rPr>
          <w:rFonts w:ascii="Times New Roman" w:hAnsi="Times New Roman" w:cs="Times New Roman"/>
          <w:b/>
          <w:color w:val="000000" w:themeColor="text1"/>
          <w:sz w:val="24"/>
          <w:szCs w:val="24"/>
          <w:lang w:val="tr-TR"/>
        </w:rPr>
        <w:t>kimyevi ve organik gübreler</w:t>
      </w:r>
      <w:r w:rsidR="00AB3D1C" w:rsidRPr="008E7BB7">
        <w:rPr>
          <w:rFonts w:ascii="Times New Roman" w:hAnsi="Times New Roman" w:cs="Times New Roman"/>
          <w:b/>
          <w:color w:val="000000" w:themeColor="text1"/>
          <w:sz w:val="24"/>
          <w:szCs w:val="24"/>
          <w:lang w:val="tr-TR"/>
        </w:rPr>
        <w:t xml:space="preserve"> </w:t>
      </w:r>
      <w:r w:rsidR="00A72B26" w:rsidRPr="008E7BB7">
        <w:rPr>
          <w:rFonts w:ascii="Times New Roman" w:hAnsi="Times New Roman" w:cs="Times New Roman"/>
          <w:color w:val="000000" w:themeColor="text1"/>
          <w:sz w:val="24"/>
          <w:szCs w:val="24"/>
          <w:lang w:val="tr-TR"/>
        </w:rPr>
        <w:t>ürün grubunda 2.</w:t>
      </w:r>
      <w:r w:rsidR="006D0D18" w:rsidRPr="008E7BB7">
        <w:rPr>
          <w:rFonts w:ascii="Times New Roman" w:hAnsi="Times New Roman" w:cs="Times New Roman"/>
          <w:color w:val="000000" w:themeColor="text1"/>
          <w:sz w:val="24"/>
          <w:szCs w:val="24"/>
          <w:lang w:val="tr-TR"/>
        </w:rPr>
        <w:t>485</w:t>
      </w:r>
      <w:r w:rsidR="00A72B26" w:rsidRPr="008E7BB7">
        <w:rPr>
          <w:rFonts w:ascii="Times New Roman" w:hAnsi="Times New Roman" w:cs="Times New Roman"/>
          <w:color w:val="000000" w:themeColor="text1"/>
          <w:sz w:val="24"/>
          <w:szCs w:val="24"/>
          <w:lang w:val="tr-TR"/>
        </w:rPr>
        <w:t>’i</w:t>
      </w:r>
      <w:r w:rsidRPr="008E7BB7">
        <w:rPr>
          <w:rFonts w:ascii="Times New Roman" w:hAnsi="Times New Roman" w:cs="Times New Roman"/>
          <w:color w:val="000000" w:themeColor="text1"/>
          <w:sz w:val="24"/>
          <w:szCs w:val="24"/>
          <w:lang w:val="tr-TR"/>
        </w:rPr>
        <w:t xml:space="preserve"> ithal olmak üzere </w:t>
      </w:r>
      <w:r w:rsidR="006D0D18" w:rsidRPr="008E7BB7">
        <w:rPr>
          <w:rFonts w:ascii="Times New Roman" w:hAnsi="Times New Roman" w:cs="Times New Roman"/>
          <w:color w:val="000000" w:themeColor="text1"/>
          <w:sz w:val="24"/>
          <w:szCs w:val="24"/>
          <w:lang w:val="tr-TR"/>
        </w:rPr>
        <w:t>7.696</w:t>
      </w:r>
      <w:r w:rsidRPr="008E7BB7">
        <w:rPr>
          <w:rFonts w:ascii="Times New Roman" w:hAnsi="Times New Roman" w:cs="Times New Roman"/>
          <w:color w:val="000000" w:themeColor="text1"/>
          <w:sz w:val="24"/>
          <w:szCs w:val="24"/>
          <w:lang w:val="tr-TR"/>
        </w:rPr>
        <w:t xml:space="preserve"> ürün partisi denetlenmiş, </w:t>
      </w:r>
      <w:r w:rsidR="006D0D18" w:rsidRPr="008E7BB7">
        <w:rPr>
          <w:rFonts w:ascii="Times New Roman" w:hAnsi="Times New Roman" w:cs="Times New Roman"/>
          <w:color w:val="000000" w:themeColor="text1"/>
          <w:sz w:val="24"/>
          <w:szCs w:val="24"/>
          <w:lang w:val="tr-TR"/>
        </w:rPr>
        <w:t>263</w:t>
      </w:r>
      <w:r w:rsidR="00154FBF" w:rsidRPr="008E7BB7">
        <w:rPr>
          <w:rFonts w:ascii="Times New Roman" w:hAnsi="Times New Roman" w:cs="Times New Roman"/>
          <w:color w:val="000000" w:themeColor="text1"/>
          <w:sz w:val="24"/>
          <w:szCs w:val="24"/>
          <w:lang w:val="tr-TR"/>
        </w:rPr>
        <w:t xml:space="preserve"> adet test yapılmış ve </w:t>
      </w:r>
      <w:r w:rsidR="006D0D18" w:rsidRPr="008E7BB7">
        <w:rPr>
          <w:rFonts w:ascii="Times New Roman" w:hAnsi="Times New Roman" w:cs="Times New Roman"/>
          <w:color w:val="000000" w:themeColor="text1"/>
          <w:sz w:val="24"/>
          <w:szCs w:val="24"/>
          <w:lang w:val="tr-TR"/>
        </w:rPr>
        <w:t>11</w:t>
      </w:r>
      <w:r w:rsidR="00CD299E" w:rsidRPr="008E7BB7">
        <w:rPr>
          <w:rFonts w:ascii="Times New Roman" w:hAnsi="Times New Roman" w:cs="Times New Roman"/>
          <w:color w:val="000000" w:themeColor="text1"/>
          <w:sz w:val="24"/>
          <w:szCs w:val="24"/>
          <w:lang w:val="tr-TR"/>
        </w:rPr>
        <w:t xml:space="preserve"> ürün partisi</w:t>
      </w:r>
      <w:r w:rsidRPr="008E7BB7">
        <w:rPr>
          <w:rFonts w:ascii="Times New Roman" w:hAnsi="Times New Roman" w:cs="Times New Roman"/>
          <w:color w:val="000000" w:themeColor="text1"/>
          <w:sz w:val="24"/>
          <w:szCs w:val="24"/>
          <w:lang w:val="tr-TR"/>
        </w:rPr>
        <w:t xml:space="preserve"> uygunsuz</w:t>
      </w:r>
      <w:r w:rsidR="00154FBF" w:rsidRPr="008E7BB7">
        <w:rPr>
          <w:rFonts w:ascii="Times New Roman" w:hAnsi="Times New Roman" w:cs="Times New Roman"/>
          <w:color w:val="000000" w:themeColor="text1"/>
          <w:sz w:val="24"/>
          <w:szCs w:val="24"/>
          <w:lang w:val="tr-TR"/>
        </w:rPr>
        <w:t xml:space="preserve"> </w:t>
      </w:r>
      <w:r w:rsidRPr="008E7BB7">
        <w:rPr>
          <w:rFonts w:ascii="Times New Roman" w:hAnsi="Times New Roman" w:cs="Times New Roman"/>
          <w:color w:val="000000" w:themeColor="text1"/>
          <w:sz w:val="24"/>
          <w:szCs w:val="24"/>
          <w:lang w:val="tr-TR"/>
        </w:rPr>
        <w:t>bulunmuştur</w:t>
      </w:r>
      <w:r w:rsidR="00CD299E" w:rsidRPr="008E7BB7">
        <w:rPr>
          <w:rFonts w:ascii="Times New Roman" w:hAnsi="Times New Roman" w:cs="Times New Roman"/>
          <w:color w:val="000000" w:themeColor="text1"/>
          <w:sz w:val="24"/>
          <w:szCs w:val="24"/>
          <w:lang w:val="tr-TR"/>
        </w:rPr>
        <w:t xml:space="preserve">. </w:t>
      </w:r>
      <w:r w:rsidR="00233C86" w:rsidRPr="008E7BB7">
        <w:rPr>
          <w:rFonts w:ascii="Times New Roman" w:hAnsi="Times New Roman" w:cs="Times New Roman"/>
          <w:color w:val="000000" w:themeColor="text1"/>
          <w:sz w:val="24"/>
          <w:szCs w:val="24"/>
          <w:lang w:val="tr-TR"/>
        </w:rPr>
        <w:t>Söz konusu ürün grubunda</w:t>
      </w:r>
      <w:r w:rsidR="00AB3D1C" w:rsidRPr="008E7BB7">
        <w:rPr>
          <w:rFonts w:ascii="Times New Roman" w:hAnsi="Times New Roman" w:cs="Times New Roman"/>
          <w:color w:val="000000" w:themeColor="text1"/>
          <w:sz w:val="24"/>
          <w:szCs w:val="24"/>
          <w:lang w:val="tr-TR"/>
        </w:rPr>
        <w:t xml:space="preserve"> tespit edilen uygunsuzluklara </w:t>
      </w:r>
      <w:r w:rsidR="006D0D18" w:rsidRPr="008E7BB7">
        <w:rPr>
          <w:rFonts w:ascii="Times New Roman" w:hAnsi="Times New Roman" w:cs="Times New Roman"/>
          <w:color w:val="000000" w:themeColor="text1"/>
          <w:sz w:val="24"/>
          <w:szCs w:val="24"/>
          <w:lang w:val="tr-TR"/>
        </w:rPr>
        <w:t>170.943</w:t>
      </w:r>
      <w:r w:rsidR="00233C86" w:rsidRPr="008E7BB7">
        <w:rPr>
          <w:rFonts w:ascii="Times New Roman" w:hAnsi="Times New Roman" w:cs="Times New Roman"/>
          <w:color w:val="000000" w:themeColor="text1"/>
          <w:sz w:val="24"/>
          <w:szCs w:val="24"/>
          <w:lang w:val="tr-TR"/>
        </w:rPr>
        <w:t xml:space="preserve"> TL </w:t>
      </w:r>
      <w:r w:rsidRPr="008E7BB7">
        <w:rPr>
          <w:rFonts w:ascii="Times New Roman" w:hAnsi="Times New Roman" w:cs="Times New Roman"/>
          <w:color w:val="000000" w:themeColor="text1"/>
          <w:sz w:val="24"/>
          <w:szCs w:val="24"/>
          <w:lang w:val="tr-TR"/>
        </w:rPr>
        <w:t>idari para cezası uygulanmıştır.</w:t>
      </w:r>
      <w:r w:rsidR="00082FFE" w:rsidRPr="008E7BB7">
        <w:rPr>
          <w:rFonts w:ascii="Times New Roman" w:hAnsi="Times New Roman" w:cs="Times New Roman"/>
          <w:color w:val="000000" w:themeColor="text1"/>
          <w:sz w:val="24"/>
          <w:szCs w:val="24"/>
          <w:lang w:val="tr-TR"/>
        </w:rPr>
        <w:t xml:space="preserve"> </w:t>
      </w:r>
    </w:p>
    <w:p w:rsidR="00873A82" w:rsidRPr="008E7BB7" w:rsidRDefault="00873A82" w:rsidP="00244917">
      <w:pPr>
        <w:spacing w:after="0" w:line="240" w:lineRule="auto"/>
        <w:jc w:val="both"/>
        <w:rPr>
          <w:rFonts w:ascii="Times New Roman" w:hAnsi="Times New Roman" w:cs="Times New Roman"/>
          <w:color w:val="000000" w:themeColor="text1"/>
          <w:sz w:val="24"/>
          <w:szCs w:val="24"/>
          <w:lang w:val="tr-TR"/>
        </w:rPr>
      </w:pPr>
    </w:p>
    <w:sectPr w:rsidR="00873A82" w:rsidRPr="008E7BB7" w:rsidSect="00191E5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DA4" w:rsidRDefault="00BC2DA4" w:rsidP="00873A82">
      <w:pPr>
        <w:spacing w:after="0" w:line="240" w:lineRule="auto"/>
      </w:pPr>
      <w:r>
        <w:separator/>
      </w:r>
    </w:p>
  </w:endnote>
  <w:endnote w:type="continuationSeparator" w:id="0">
    <w:p w:rsidR="00BC2DA4" w:rsidRDefault="00BC2DA4" w:rsidP="0087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DA4" w:rsidRDefault="00BC2DA4" w:rsidP="00873A82">
      <w:pPr>
        <w:spacing w:after="0" w:line="240" w:lineRule="auto"/>
      </w:pPr>
      <w:r>
        <w:separator/>
      </w:r>
    </w:p>
  </w:footnote>
  <w:footnote w:type="continuationSeparator" w:id="0">
    <w:p w:rsidR="00BC2DA4" w:rsidRDefault="00BC2DA4" w:rsidP="00873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A09"/>
    <w:multiLevelType w:val="hybridMultilevel"/>
    <w:tmpl w:val="0B4A8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E10480"/>
    <w:multiLevelType w:val="hybridMultilevel"/>
    <w:tmpl w:val="3E083B54"/>
    <w:lvl w:ilvl="0" w:tplc="B850873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D331B8"/>
    <w:multiLevelType w:val="hybridMultilevel"/>
    <w:tmpl w:val="57CE0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4F0EBA"/>
    <w:multiLevelType w:val="hybridMultilevel"/>
    <w:tmpl w:val="26A4E0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5E59D5"/>
    <w:multiLevelType w:val="hybridMultilevel"/>
    <w:tmpl w:val="FD24E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67611E"/>
    <w:multiLevelType w:val="hybridMultilevel"/>
    <w:tmpl w:val="08969D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A82"/>
    <w:rsid w:val="00002193"/>
    <w:rsid w:val="00021143"/>
    <w:rsid w:val="00023AA6"/>
    <w:rsid w:val="0003009C"/>
    <w:rsid w:val="00061060"/>
    <w:rsid w:val="000637AE"/>
    <w:rsid w:val="00075C10"/>
    <w:rsid w:val="00077C05"/>
    <w:rsid w:val="00082FFE"/>
    <w:rsid w:val="000871C1"/>
    <w:rsid w:val="000955E0"/>
    <w:rsid w:val="000A096F"/>
    <w:rsid w:val="000D0B90"/>
    <w:rsid w:val="000D39A9"/>
    <w:rsid w:val="000D441E"/>
    <w:rsid w:val="0011125B"/>
    <w:rsid w:val="00122473"/>
    <w:rsid w:val="00123958"/>
    <w:rsid w:val="0013630D"/>
    <w:rsid w:val="00136A0C"/>
    <w:rsid w:val="00143CC8"/>
    <w:rsid w:val="00151717"/>
    <w:rsid w:val="00154FBF"/>
    <w:rsid w:val="00162546"/>
    <w:rsid w:val="0017326B"/>
    <w:rsid w:val="00176398"/>
    <w:rsid w:val="001803AF"/>
    <w:rsid w:val="00187169"/>
    <w:rsid w:val="00191CB0"/>
    <w:rsid w:val="00191E5D"/>
    <w:rsid w:val="0019429B"/>
    <w:rsid w:val="00197CA3"/>
    <w:rsid w:val="001D048E"/>
    <w:rsid w:val="001D2AD9"/>
    <w:rsid w:val="001D4DE7"/>
    <w:rsid w:val="001E0FB8"/>
    <w:rsid w:val="001E63B7"/>
    <w:rsid w:val="00205B44"/>
    <w:rsid w:val="00214E8B"/>
    <w:rsid w:val="002225FE"/>
    <w:rsid w:val="00231CAC"/>
    <w:rsid w:val="00233C86"/>
    <w:rsid w:val="0023775A"/>
    <w:rsid w:val="00244917"/>
    <w:rsid w:val="002612EE"/>
    <w:rsid w:val="0029146C"/>
    <w:rsid w:val="00297074"/>
    <w:rsid w:val="002B0E1F"/>
    <w:rsid w:val="002C330B"/>
    <w:rsid w:val="002C76BA"/>
    <w:rsid w:val="002D13A4"/>
    <w:rsid w:val="002E30B3"/>
    <w:rsid w:val="002E68DA"/>
    <w:rsid w:val="002E6B67"/>
    <w:rsid w:val="002E778C"/>
    <w:rsid w:val="002F223F"/>
    <w:rsid w:val="002F27D9"/>
    <w:rsid w:val="002F655A"/>
    <w:rsid w:val="003132AE"/>
    <w:rsid w:val="00347D0A"/>
    <w:rsid w:val="00350073"/>
    <w:rsid w:val="0035424F"/>
    <w:rsid w:val="0036575F"/>
    <w:rsid w:val="00373D85"/>
    <w:rsid w:val="00390EAF"/>
    <w:rsid w:val="00393CF1"/>
    <w:rsid w:val="00394B52"/>
    <w:rsid w:val="003C75B5"/>
    <w:rsid w:val="003D1330"/>
    <w:rsid w:val="003F2CE7"/>
    <w:rsid w:val="004106C7"/>
    <w:rsid w:val="004118AC"/>
    <w:rsid w:val="0041233A"/>
    <w:rsid w:val="00415DE6"/>
    <w:rsid w:val="00420F04"/>
    <w:rsid w:val="004306CF"/>
    <w:rsid w:val="00442FD6"/>
    <w:rsid w:val="00450643"/>
    <w:rsid w:val="00463277"/>
    <w:rsid w:val="00463A6A"/>
    <w:rsid w:val="0047279B"/>
    <w:rsid w:val="0047522B"/>
    <w:rsid w:val="00491E53"/>
    <w:rsid w:val="00494BEF"/>
    <w:rsid w:val="004B36E2"/>
    <w:rsid w:val="004F3276"/>
    <w:rsid w:val="00500384"/>
    <w:rsid w:val="00500E55"/>
    <w:rsid w:val="00506B5D"/>
    <w:rsid w:val="00510484"/>
    <w:rsid w:val="005252A2"/>
    <w:rsid w:val="00537B34"/>
    <w:rsid w:val="00540AF9"/>
    <w:rsid w:val="005411C1"/>
    <w:rsid w:val="00547EDE"/>
    <w:rsid w:val="00552100"/>
    <w:rsid w:val="005547C4"/>
    <w:rsid w:val="00574A8E"/>
    <w:rsid w:val="005767D8"/>
    <w:rsid w:val="005A33C4"/>
    <w:rsid w:val="005A4711"/>
    <w:rsid w:val="005B3CDF"/>
    <w:rsid w:val="005B75C7"/>
    <w:rsid w:val="005D4ED4"/>
    <w:rsid w:val="005F2F11"/>
    <w:rsid w:val="005F36FE"/>
    <w:rsid w:val="00603E63"/>
    <w:rsid w:val="00621E98"/>
    <w:rsid w:val="00626DC8"/>
    <w:rsid w:val="00635675"/>
    <w:rsid w:val="00653F2B"/>
    <w:rsid w:val="00664DF3"/>
    <w:rsid w:val="00671DFD"/>
    <w:rsid w:val="006766E2"/>
    <w:rsid w:val="00685500"/>
    <w:rsid w:val="006B040C"/>
    <w:rsid w:val="006B09BD"/>
    <w:rsid w:val="006C25C0"/>
    <w:rsid w:val="006C705F"/>
    <w:rsid w:val="006D0D18"/>
    <w:rsid w:val="006E063A"/>
    <w:rsid w:val="007019FE"/>
    <w:rsid w:val="0070392D"/>
    <w:rsid w:val="00704913"/>
    <w:rsid w:val="007144CC"/>
    <w:rsid w:val="007175EF"/>
    <w:rsid w:val="007301D1"/>
    <w:rsid w:val="0073154A"/>
    <w:rsid w:val="007429E0"/>
    <w:rsid w:val="00743E89"/>
    <w:rsid w:val="00753B3E"/>
    <w:rsid w:val="00764EDA"/>
    <w:rsid w:val="00780580"/>
    <w:rsid w:val="007807D5"/>
    <w:rsid w:val="0079290D"/>
    <w:rsid w:val="007935A0"/>
    <w:rsid w:val="00793609"/>
    <w:rsid w:val="007B076A"/>
    <w:rsid w:val="007C1122"/>
    <w:rsid w:val="007C2EB6"/>
    <w:rsid w:val="007E05CC"/>
    <w:rsid w:val="007E07C9"/>
    <w:rsid w:val="007E3808"/>
    <w:rsid w:val="007F1F49"/>
    <w:rsid w:val="007F2195"/>
    <w:rsid w:val="007F63C6"/>
    <w:rsid w:val="007F6586"/>
    <w:rsid w:val="00812B30"/>
    <w:rsid w:val="008178C6"/>
    <w:rsid w:val="00817C37"/>
    <w:rsid w:val="00825583"/>
    <w:rsid w:val="00832D90"/>
    <w:rsid w:val="00833B3D"/>
    <w:rsid w:val="00833D4E"/>
    <w:rsid w:val="00837641"/>
    <w:rsid w:val="00841AA9"/>
    <w:rsid w:val="00843C0B"/>
    <w:rsid w:val="008517F7"/>
    <w:rsid w:val="00871E85"/>
    <w:rsid w:val="00873A82"/>
    <w:rsid w:val="008750DB"/>
    <w:rsid w:val="0089221D"/>
    <w:rsid w:val="008B0FAF"/>
    <w:rsid w:val="008B2B4E"/>
    <w:rsid w:val="008B31BC"/>
    <w:rsid w:val="008B4E84"/>
    <w:rsid w:val="008C35D8"/>
    <w:rsid w:val="008D0F29"/>
    <w:rsid w:val="008D2DFD"/>
    <w:rsid w:val="008E2DC1"/>
    <w:rsid w:val="008E46BA"/>
    <w:rsid w:val="008E7BB7"/>
    <w:rsid w:val="008F033B"/>
    <w:rsid w:val="008F1C1E"/>
    <w:rsid w:val="00900F4E"/>
    <w:rsid w:val="00912DE5"/>
    <w:rsid w:val="00914B48"/>
    <w:rsid w:val="0092634D"/>
    <w:rsid w:val="00927B98"/>
    <w:rsid w:val="00931C52"/>
    <w:rsid w:val="00933415"/>
    <w:rsid w:val="00945655"/>
    <w:rsid w:val="00947442"/>
    <w:rsid w:val="009536D3"/>
    <w:rsid w:val="00972CD3"/>
    <w:rsid w:val="009769F2"/>
    <w:rsid w:val="00985981"/>
    <w:rsid w:val="009909A8"/>
    <w:rsid w:val="00991A94"/>
    <w:rsid w:val="009A5BE1"/>
    <w:rsid w:val="009C053C"/>
    <w:rsid w:val="009C758B"/>
    <w:rsid w:val="009D7273"/>
    <w:rsid w:val="009E2E1F"/>
    <w:rsid w:val="009F2175"/>
    <w:rsid w:val="00A077D6"/>
    <w:rsid w:val="00A1404F"/>
    <w:rsid w:val="00A14089"/>
    <w:rsid w:val="00A15D10"/>
    <w:rsid w:val="00A235A2"/>
    <w:rsid w:val="00A3289C"/>
    <w:rsid w:val="00A332DD"/>
    <w:rsid w:val="00A536A2"/>
    <w:rsid w:val="00A57ACA"/>
    <w:rsid w:val="00A70841"/>
    <w:rsid w:val="00A72B26"/>
    <w:rsid w:val="00A8058C"/>
    <w:rsid w:val="00A82013"/>
    <w:rsid w:val="00AA6201"/>
    <w:rsid w:val="00AA68AB"/>
    <w:rsid w:val="00AB0B26"/>
    <w:rsid w:val="00AB3B4E"/>
    <w:rsid w:val="00AB3D1C"/>
    <w:rsid w:val="00AB7124"/>
    <w:rsid w:val="00AE3BD3"/>
    <w:rsid w:val="00AE697F"/>
    <w:rsid w:val="00AF480C"/>
    <w:rsid w:val="00AF5A4E"/>
    <w:rsid w:val="00B12ADD"/>
    <w:rsid w:val="00B26B7D"/>
    <w:rsid w:val="00B330A2"/>
    <w:rsid w:val="00B37672"/>
    <w:rsid w:val="00B42832"/>
    <w:rsid w:val="00B5290F"/>
    <w:rsid w:val="00B54C28"/>
    <w:rsid w:val="00B740EE"/>
    <w:rsid w:val="00B82971"/>
    <w:rsid w:val="00B87236"/>
    <w:rsid w:val="00B950F6"/>
    <w:rsid w:val="00BA0391"/>
    <w:rsid w:val="00BA1622"/>
    <w:rsid w:val="00BA32DE"/>
    <w:rsid w:val="00BB2BCB"/>
    <w:rsid w:val="00BC2DA4"/>
    <w:rsid w:val="00BD7B99"/>
    <w:rsid w:val="00BE4AB9"/>
    <w:rsid w:val="00BF1548"/>
    <w:rsid w:val="00C012A0"/>
    <w:rsid w:val="00C02FB3"/>
    <w:rsid w:val="00C02FD2"/>
    <w:rsid w:val="00C31BE9"/>
    <w:rsid w:val="00C40EED"/>
    <w:rsid w:val="00C51101"/>
    <w:rsid w:val="00C5347A"/>
    <w:rsid w:val="00C7494D"/>
    <w:rsid w:val="00C77E43"/>
    <w:rsid w:val="00C927F7"/>
    <w:rsid w:val="00C97C88"/>
    <w:rsid w:val="00CA68C9"/>
    <w:rsid w:val="00CA7DD3"/>
    <w:rsid w:val="00CB141E"/>
    <w:rsid w:val="00CC1EFA"/>
    <w:rsid w:val="00CC5547"/>
    <w:rsid w:val="00CC76F7"/>
    <w:rsid w:val="00CD299E"/>
    <w:rsid w:val="00CF13FF"/>
    <w:rsid w:val="00CF31FC"/>
    <w:rsid w:val="00D039F2"/>
    <w:rsid w:val="00D077A3"/>
    <w:rsid w:val="00D206FC"/>
    <w:rsid w:val="00D27FBC"/>
    <w:rsid w:val="00D32BFC"/>
    <w:rsid w:val="00D401C9"/>
    <w:rsid w:val="00D50AFB"/>
    <w:rsid w:val="00D53031"/>
    <w:rsid w:val="00D923FA"/>
    <w:rsid w:val="00DA3567"/>
    <w:rsid w:val="00DA4FD5"/>
    <w:rsid w:val="00DA758D"/>
    <w:rsid w:val="00DB27FE"/>
    <w:rsid w:val="00DB4FE6"/>
    <w:rsid w:val="00DC3872"/>
    <w:rsid w:val="00DD557A"/>
    <w:rsid w:val="00DE28C3"/>
    <w:rsid w:val="00DE2BC4"/>
    <w:rsid w:val="00DE67C3"/>
    <w:rsid w:val="00E018B4"/>
    <w:rsid w:val="00E06E3B"/>
    <w:rsid w:val="00E34245"/>
    <w:rsid w:val="00E34D1E"/>
    <w:rsid w:val="00E364A9"/>
    <w:rsid w:val="00E3748C"/>
    <w:rsid w:val="00E452CF"/>
    <w:rsid w:val="00E5176D"/>
    <w:rsid w:val="00E63920"/>
    <w:rsid w:val="00E73796"/>
    <w:rsid w:val="00E737E7"/>
    <w:rsid w:val="00E90351"/>
    <w:rsid w:val="00E91208"/>
    <w:rsid w:val="00EA70F8"/>
    <w:rsid w:val="00EC17E6"/>
    <w:rsid w:val="00EC1E0F"/>
    <w:rsid w:val="00ED5877"/>
    <w:rsid w:val="00EE2FDA"/>
    <w:rsid w:val="00EE760D"/>
    <w:rsid w:val="00EE7E3B"/>
    <w:rsid w:val="00F070CB"/>
    <w:rsid w:val="00F21BF4"/>
    <w:rsid w:val="00F73D9E"/>
    <w:rsid w:val="00F77F3B"/>
    <w:rsid w:val="00F8471E"/>
    <w:rsid w:val="00F90089"/>
    <w:rsid w:val="00F9758A"/>
    <w:rsid w:val="00FA1335"/>
    <w:rsid w:val="00FA78DF"/>
    <w:rsid w:val="00FB184A"/>
    <w:rsid w:val="00FB1EE5"/>
    <w:rsid w:val="00FB2BF0"/>
    <w:rsid w:val="00FB32BB"/>
    <w:rsid w:val="00FB5D40"/>
    <w:rsid w:val="00FB5E6F"/>
    <w:rsid w:val="00FC6A49"/>
    <w:rsid w:val="00FD240F"/>
    <w:rsid w:val="00FE42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FC6C"/>
  <w15:docId w15:val="{554AFC7D-11AF-48C1-9CF6-7C6E79F7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E3B"/>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A82"/>
    <w:pPr>
      <w:ind w:left="720"/>
      <w:contextualSpacing/>
    </w:pPr>
  </w:style>
  <w:style w:type="paragraph" w:styleId="DipnotMetni">
    <w:name w:val="footnote text"/>
    <w:basedOn w:val="Normal"/>
    <w:link w:val="DipnotMetniChar"/>
    <w:uiPriority w:val="99"/>
    <w:semiHidden/>
    <w:unhideWhenUsed/>
    <w:rsid w:val="00873A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3A82"/>
    <w:rPr>
      <w:sz w:val="20"/>
      <w:szCs w:val="20"/>
      <w:lang w:val="en-US"/>
    </w:rPr>
  </w:style>
  <w:style w:type="character" w:styleId="DipnotBavurusu">
    <w:name w:val="footnote reference"/>
    <w:basedOn w:val="VarsaylanParagrafYazTipi"/>
    <w:uiPriority w:val="99"/>
    <w:semiHidden/>
    <w:unhideWhenUsed/>
    <w:rsid w:val="00873A82"/>
    <w:rPr>
      <w:vertAlign w:val="superscript"/>
    </w:rPr>
  </w:style>
  <w:style w:type="paragraph" w:styleId="BalonMetni">
    <w:name w:val="Balloon Text"/>
    <w:basedOn w:val="Normal"/>
    <w:link w:val="BalonMetniChar"/>
    <w:uiPriority w:val="99"/>
    <w:semiHidden/>
    <w:unhideWhenUsed/>
    <w:rsid w:val="00214E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E8B"/>
    <w:rPr>
      <w:rFonts w:ascii="Segoe UI" w:hAnsi="Segoe UI" w:cs="Segoe UI"/>
      <w:sz w:val="18"/>
      <w:szCs w:val="18"/>
      <w:lang w:val="en-US"/>
    </w:rPr>
  </w:style>
  <w:style w:type="paragraph" w:customStyle="1" w:styleId="Default">
    <w:name w:val="Default"/>
    <w:rsid w:val="00AE3BD3"/>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nhideWhenUsed/>
    <w:rsid w:val="00843C0B"/>
    <w:pPr>
      <w:spacing w:after="0" w:line="240" w:lineRule="auto"/>
      <w:jc w:val="both"/>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rsid w:val="00843C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51773">
      <w:bodyDiv w:val="1"/>
      <w:marLeft w:val="0"/>
      <w:marRight w:val="0"/>
      <w:marTop w:val="0"/>
      <w:marBottom w:val="0"/>
      <w:divBdr>
        <w:top w:val="none" w:sz="0" w:space="0" w:color="auto"/>
        <w:left w:val="none" w:sz="0" w:space="0" w:color="auto"/>
        <w:bottom w:val="none" w:sz="0" w:space="0" w:color="auto"/>
        <w:right w:val="none" w:sz="0" w:space="0" w:color="auto"/>
      </w:divBdr>
    </w:div>
    <w:div w:id="688142513">
      <w:bodyDiv w:val="1"/>
      <w:marLeft w:val="0"/>
      <w:marRight w:val="0"/>
      <w:marTop w:val="0"/>
      <w:marBottom w:val="0"/>
      <w:divBdr>
        <w:top w:val="none" w:sz="0" w:space="0" w:color="auto"/>
        <w:left w:val="none" w:sz="0" w:space="0" w:color="auto"/>
        <w:bottom w:val="none" w:sz="0" w:space="0" w:color="auto"/>
        <w:right w:val="none" w:sz="0" w:space="0" w:color="auto"/>
      </w:divBdr>
    </w:div>
    <w:div w:id="863398001">
      <w:bodyDiv w:val="1"/>
      <w:marLeft w:val="0"/>
      <w:marRight w:val="0"/>
      <w:marTop w:val="0"/>
      <w:marBottom w:val="0"/>
      <w:divBdr>
        <w:top w:val="none" w:sz="0" w:space="0" w:color="auto"/>
        <w:left w:val="none" w:sz="0" w:space="0" w:color="auto"/>
        <w:bottom w:val="none" w:sz="0" w:space="0" w:color="auto"/>
        <w:right w:val="none" w:sz="0" w:space="0" w:color="auto"/>
      </w:divBdr>
    </w:div>
    <w:div w:id="1163744780">
      <w:bodyDiv w:val="1"/>
      <w:marLeft w:val="0"/>
      <w:marRight w:val="0"/>
      <w:marTop w:val="0"/>
      <w:marBottom w:val="0"/>
      <w:divBdr>
        <w:top w:val="none" w:sz="0" w:space="0" w:color="auto"/>
        <w:left w:val="none" w:sz="0" w:space="0" w:color="auto"/>
        <w:bottom w:val="none" w:sz="0" w:space="0" w:color="auto"/>
        <w:right w:val="none" w:sz="0" w:space="0" w:color="auto"/>
      </w:divBdr>
    </w:div>
    <w:div w:id="1510368472">
      <w:bodyDiv w:val="1"/>
      <w:marLeft w:val="0"/>
      <w:marRight w:val="0"/>
      <w:marTop w:val="0"/>
      <w:marBottom w:val="0"/>
      <w:divBdr>
        <w:top w:val="none" w:sz="0" w:space="0" w:color="auto"/>
        <w:left w:val="none" w:sz="0" w:space="0" w:color="auto"/>
        <w:bottom w:val="none" w:sz="0" w:space="0" w:color="auto"/>
        <w:right w:val="none" w:sz="0" w:space="0" w:color="auto"/>
      </w:divBdr>
    </w:div>
    <w:div w:id="1582762062">
      <w:bodyDiv w:val="1"/>
      <w:marLeft w:val="0"/>
      <w:marRight w:val="0"/>
      <w:marTop w:val="0"/>
      <w:marBottom w:val="0"/>
      <w:divBdr>
        <w:top w:val="none" w:sz="0" w:space="0" w:color="auto"/>
        <w:left w:val="none" w:sz="0" w:space="0" w:color="auto"/>
        <w:bottom w:val="none" w:sz="0" w:space="0" w:color="auto"/>
        <w:right w:val="none" w:sz="0" w:space="0" w:color="auto"/>
      </w:divBdr>
    </w:div>
    <w:div w:id="1712270541">
      <w:bodyDiv w:val="1"/>
      <w:marLeft w:val="0"/>
      <w:marRight w:val="0"/>
      <w:marTop w:val="0"/>
      <w:marBottom w:val="0"/>
      <w:divBdr>
        <w:top w:val="none" w:sz="0" w:space="0" w:color="auto"/>
        <w:left w:val="none" w:sz="0" w:space="0" w:color="auto"/>
        <w:bottom w:val="none" w:sz="0" w:space="0" w:color="auto"/>
        <w:right w:val="none" w:sz="0" w:space="0" w:color="auto"/>
      </w:divBdr>
    </w:div>
    <w:div w:id="19488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220;&#199;%20AYLIK%20RAPORLAMA\2021%203.%20&#252;&#231;%20ayl&#305;k\Grafikle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ileserver2\Dosyalar3\dts\9-Kalite%20Altyap&#305;s&#305;%20ve%20Piyasa%20G&#246;zetimi%20Dairesi\02.PGD\PGD%20RAPORU\..&#220;&#199;%20AYLIK%20RAPORLAMA\2021%203.%20&#252;&#231;%20ayl&#305;k\Grafikl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220;&#199;%20AYLIK%20RAPORLAMA\2021%203.%20&#252;&#231;%20ayl&#305;k\Grafikl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220;&#199;%20AYLIK%20RAPORLAMA\2021%203.%20&#252;&#231;%20ayl&#305;k\Grafikl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220;&#199;%20AYLIK%20RAPORLAMA\2021%203.%20&#252;&#231;%20ayl&#305;k\Grafikler.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fileserver2\Dosyalar3\dts\9-Kalite%20Altyap&#305;s&#305;%20ve%20Piyasa%20G&#246;zetimi%20Dairesi\02.PGD\PGD%20RAPORU\..&#220;&#199;%20AYLIK%20RAPORLAMA\2021%203.%20&#252;&#231;%20ayl&#305;k\Grafikler.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file:///\\fileserver2\Dosyalar3\dts\9-Kalite%20Altyap&#305;s&#305;%20ve%20Piyasa%20G&#246;zetimi%20Dairesi\02.PGD\PGD%20RAPORU\..&#220;&#199;%20AYLIK%20RAPORLAMA\2021%203.%20&#252;&#231;%20ayl&#305;k\Grafikler.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oleObject" Target="file:///\\fileserver2\Dosyalar3\dts\9-Kalite%20Altyap&#305;s&#305;%20ve%20Piyasa%20G&#246;zetimi%20Dairesi\02.PGD\PGD%20RAPORU\..&#220;&#199;%20AYLIK%20RAPORLAMA\2021%203.%20&#252;&#231;%20ayl&#305;k\Grafikler.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GRAFİK-1 </a:t>
            </a:r>
            <a:r>
              <a:rPr lang="en-US" sz="1400">
                <a:solidFill>
                  <a:schemeClr val="tx1">
                    <a:lumMod val="65000"/>
                    <a:lumOff val="35000"/>
                  </a:schemeClr>
                </a:solidFill>
              </a:rPr>
              <a:t>DENETLENEN TOPLAM ÜRÜN SAYISI</a:t>
            </a:r>
          </a:p>
        </c:rich>
      </c:tx>
      <c:layout>
        <c:manualLayout>
          <c:xMode val="edge"/>
          <c:yMode val="edge"/>
          <c:x val="0.13171522309711309"/>
          <c:y val="2.646815550041361E-2"/>
        </c:manualLayout>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553149606299476E-2"/>
          <c:y val="0.15541783083566219"/>
          <c:w val="0.8458912948381464"/>
          <c:h val="0.77208156672723549"/>
        </c:manualLayout>
      </c:layout>
      <c:bar3DChart>
        <c:barDir val="col"/>
        <c:grouping val="clustered"/>
        <c:varyColors val="0"/>
        <c:ser>
          <c:idx val="0"/>
          <c:order val="0"/>
          <c:tx>
            <c:strRef>
              <c:f>GRAFİKLER!$B$1</c:f>
              <c:strCache>
                <c:ptCount val="1"/>
                <c:pt idx="0">
                  <c:v>DENETLENEN TOPLAM ÜRÜN PARTİ SAYISI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GRAFİKLER!$A$2:$A$3</c:f>
              <c:numCache>
                <c:formatCode>mmm\-yy</c:formatCode>
                <c:ptCount val="1"/>
              </c:numCache>
            </c:numRef>
          </c:cat>
          <c:val>
            <c:numRef>
              <c:f>GRAFİKLER!$B$2:$B$3</c:f>
              <c:numCache>
                <c:formatCode>0</c:formatCode>
                <c:ptCount val="1"/>
                <c:pt idx="0">
                  <c:v>13034</c:v>
                </c:pt>
              </c:numCache>
            </c:numRef>
          </c:val>
          <c:extLst>
            <c:ext xmlns:c16="http://schemas.microsoft.com/office/drawing/2014/chart" uri="{C3380CC4-5D6E-409C-BE32-E72D297353CC}">
              <c16:uniqueId val="{00000000-A160-4F4D-A095-915D6946A53A}"/>
            </c:ext>
          </c:extLst>
        </c:ser>
        <c:dLbls>
          <c:showLegendKey val="0"/>
          <c:showVal val="1"/>
          <c:showCatName val="0"/>
          <c:showSerName val="0"/>
          <c:showPercent val="0"/>
          <c:showBubbleSize val="0"/>
        </c:dLbls>
        <c:gapWidth val="65"/>
        <c:shape val="box"/>
        <c:axId val="114386816"/>
        <c:axId val="114388352"/>
        <c:axId val="0"/>
      </c:bar3DChart>
      <c:catAx>
        <c:axId val="114386816"/>
        <c:scaling>
          <c:orientation val="minMax"/>
        </c:scaling>
        <c:delete val="0"/>
        <c:axPos val="b"/>
        <c:numFmt formatCode="mmm\-yy"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tx2">
                    <a:lumMod val="50000"/>
                  </a:schemeClr>
                </a:solidFill>
                <a:latin typeface="+mn-lt"/>
                <a:ea typeface="+mn-ea"/>
                <a:cs typeface="+mn-cs"/>
              </a:defRPr>
            </a:pPr>
            <a:endParaRPr lang="tr-TR"/>
          </a:p>
        </c:txPr>
        <c:crossAx val="114388352"/>
        <c:crosses val="autoZero"/>
        <c:auto val="1"/>
        <c:lblAlgn val="ctr"/>
        <c:lblOffset val="100"/>
        <c:noMultiLvlLbl val="1"/>
      </c:catAx>
      <c:valAx>
        <c:axId val="11438835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tr-TR"/>
          </a:p>
        </c:txPr>
        <c:crossAx val="1143868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GRAFİK-2 GERÇEKLEŞTİRİLEN DENETİMLERİN ÇIKTILARI</a:t>
            </a:r>
            <a:endParaRPr lang="tr-TR" sz="1400">
              <a:solidFill>
                <a:schemeClr val="tx1">
                  <a:lumMod val="65000"/>
                  <a:lumOff val="35000"/>
                </a:schemeClr>
              </a:solidFill>
              <a:effectLst/>
            </a:endParaRPr>
          </a:p>
        </c:rich>
      </c:tx>
      <c:layout>
        <c:manualLayout>
          <c:xMode val="edge"/>
          <c:yMode val="edge"/>
          <c:x val="0.10215834983817207"/>
          <c:y val="8.0709274976991513E-2"/>
        </c:manualLayout>
      </c:layout>
      <c:overlay val="0"/>
      <c:spPr>
        <a:noFill/>
        <a:ln>
          <a:noFill/>
        </a:ln>
        <a:effectLst/>
      </c:spPr>
    </c:title>
    <c:autoTitleDeleted val="0"/>
    <c:plotArea>
      <c:layout>
        <c:manualLayout>
          <c:layoutTarget val="inner"/>
          <c:xMode val="edge"/>
          <c:yMode val="edge"/>
          <c:x val="3.1386123904323278E-2"/>
          <c:y val="0.15821198164980663"/>
          <c:w val="0.91050285380994045"/>
          <c:h val="0.66120655372623882"/>
        </c:manualLayout>
      </c:layout>
      <c:ofPieChart>
        <c:ofPieType val="pie"/>
        <c:varyColors val="1"/>
        <c:ser>
          <c:idx val="3"/>
          <c:order val="0"/>
          <c:tx>
            <c:strRef>
              <c:f>GRAFİKLER!$A$7</c:f>
              <c:strCache>
                <c:ptCount val="1"/>
              </c:strCache>
            </c:strRef>
          </c:tx>
          <c:spPr>
            <a:scene3d>
              <a:camera prst="orthographicFront"/>
              <a:lightRig rig="threePt" dir="t"/>
            </a:scene3d>
            <a:sp3d>
              <a:bevelT w="190500" h="38100"/>
            </a:sp3d>
          </c:spPr>
          <c:explosion val="4"/>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1194-4B7F-86A8-65A8460B8D7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1194-4B7F-86A8-65A8460B8D7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1194-4B7F-86A8-65A8460B8D7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1194-4B7F-86A8-65A8460B8D7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1194-4B7F-86A8-65A8460B8D7C}"/>
              </c:ext>
            </c:extLst>
          </c:dPt>
          <c:dLbls>
            <c:dLbl>
              <c:idx val="0"/>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194-4B7F-86A8-65A8460B8D7C}"/>
                </c:ext>
              </c:extLst>
            </c:dLbl>
            <c:dLbl>
              <c:idx val="1"/>
              <c:layout>
                <c:manualLayout>
                  <c:x val="-0.15832252100562902"/>
                  <c:y val="-6.3501350256914479E-3"/>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194-4B7F-86A8-65A8460B8D7C}"/>
                </c:ext>
              </c:extLst>
            </c:dLbl>
            <c:dLbl>
              <c:idx val="2"/>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194-4B7F-86A8-65A8460B8D7C}"/>
                </c:ext>
              </c:extLst>
            </c:dLbl>
            <c:dLbl>
              <c:idx val="3"/>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194-4B7F-86A8-65A8460B8D7C}"/>
                </c:ext>
              </c:extLst>
            </c:dLbl>
            <c:dLbl>
              <c:idx val="4"/>
              <c:tx>
                <c:rich>
                  <a:bodyPr/>
                  <a:lstStyle/>
                  <a:p>
                    <a:r>
                      <a:rPr lang="en-US"/>
                      <a:t>612; 4,7%</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194-4B7F-86A8-65A8460B8D7C}"/>
                </c:ext>
              </c:extLst>
            </c:dLbl>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11786</c:v>
                </c:pt>
                <c:pt idx="1">
                  <c:v>636</c:v>
                </c:pt>
                <c:pt idx="2">
                  <c:v>552</c:v>
                </c:pt>
                <c:pt idx="3" formatCode="General">
                  <c:v>60</c:v>
                </c:pt>
              </c:numCache>
            </c:numRef>
          </c:val>
          <c:extLst>
            <c:ext xmlns:c16="http://schemas.microsoft.com/office/drawing/2014/chart" uri="{C3380CC4-5D6E-409C-BE32-E72D297353CC}">
              <c16:uniqueId val="{0000000A-1194-4B7F-86A8-65A8460B8D7C}"/>
            </c:ext>
          </c:extLst>
        </c:ser>
        <c:ser>
          <c:idx val="4"/>
          <c:order val="1"/>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C-1194-4B7F-86A8-65A8460B8D7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E-1194-4B7F-86A8-65A8460B8D7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0-1194-4B7F-86A8-65A8460B8D7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2-1194-4B7F-86A8-65A8460B8D7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4-1194-4B7F-86A8-65A8460B8D7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11786</c:v>
                </c:pt>
                <c:pt idx="1">
                  <c:v>636</c:v>
                </c:pt>
                <c:pt idx="2">
                  <c:v>552</c:v>
                </c:pt>
                <c:pt idx="3" formatCode="General">
                  <c:v>60</c:v>
                </c:pt>
              </c:numCache>
            </c:numRef>
          </c:val>
          <c:extLst>
            <c:ext xmlns:c16="http://schemas.microsoft.com/office/drawing/2014/chart" uri="{C3380CC4-5D6E-409C-BE32-E72D297353CC}">
              <c16:uniqueId val="{00000015-1194-4B7F-86A8-65A8460B8D7C}"/>
            </c:ext>
          </c:extLst>
        </c:ser>
        <c:ser>
          <c:idx val="5"/>
          <c:order val="2"/>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7-1194-4B7F-86A8-65A8460B8D7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9-1194-4B7F-86A8-65A8460B8D7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B-1194-4B7F-86A8-65A8460B8D7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D-1194-4B7F-86A8-65A8460B8D7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F-1194-4B7F-86A8-65A8460B8D7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11786</c:v>
                </c:pt>
                <c:pt idx="1">
                  <c:v>636</c:v>
                </c:pt>
                <c:pt idx="2">
                  <c:v>552</c:v>
                </c:pt>
                <c:pt idx="3" formatCode="General">
                  <c:v>60</c:v>
                </c:pt>
              </c:numCache>
            </c:numRef>
          </c:val>
          <c:extLst>
            <c:ext xmlns:c16="http://schemas.microsoft.com/office/drawing/2014/chart" uri="{C3380CC4-5D6E-409C-BE32-E72D297353CC}">
              <c16:uniqueId val="{00000020-1194-4B7F-86A8-65A8460B8D7C}"/>
            </c:ext>
          </c:extLst>
        </c:ser>
        <c:ser>
          <c:idx val="6"/>
          <c:order val="3"/>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2-1194-4B7F-86A8-65A8460B8D7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4-1194-4B7F-86A8-65A8460B8D7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6-1194-4B7F-86A8-65A8460B8D7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8-1194-4B7F-86A8-65A8460B8D7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A-1194-4B7F-86A8-65A8460B8D7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11786</c:v>
                </c:pt>
                <c:pt idx="1">
                  <c:v>636</c:v>
                </c:pt>
                <c:pt idx="2">
                  <c:v>552</c:v>
                </c:pt>
                <c:pt idx="3" formatCode="General">
                  <c:v>60</c:v>
                </c:pt>
              </c:numCache>
            </c:numRef>
          </c:val>
          <c:extLst>
            <c:ext xmlns:c16="http://schemas.microsoft.com/office/drawing/2014/chart" uri="{C3380CC4-5D6E-409C-BE32-E72D297353CC}">
              <c16:uniqueId val="{0000002B-1194-4B7F-86A8-65A8460B8D7C}"/>
            </c:ext>
          </c:extLst>
        </c:ser>
        <c:ser>
          <c:idx val="7"/>
          <c:order val="4"/>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D-1194-4B7F-86A8-65A8460B8D7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F-1194-4B7F-86A8-65A8460B8D7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1-1194-4B7F-86A8-65A8460B8D7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3-1194-4B7F-86A8-65A8460B8D7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5-1194-4B7F-86A8-65A8460B8D7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11786</c:v>
                </c:pt>
                <c:pt idx="1">
                  <c:v>636</c:v>
                </c:pt>
                <c:pt idx="2">
                  <c:v>552</c:v>
                </c:pt>
                <c:pt idx="3" formatCode="General">
                  <c:v>60</c:v>
                </c:pt>
              </c:numCache>
            </c:numRef>
          </c:val>
          <c:extLst>
            <c:ext xmlns:c16="http://schemas.microsoft.com/office/drawing/2014/chart" uri="{C3380CC4-5D6E-409C-BE32-E72D297353CC}">
              <c16:uniqueId val="{00000036-1194-4B7F-86A8-65A8460B8D7C}"/>
            </c:ext>
          </c:extLst>
        </c:ser>
        <c:ser>
          <c:idx val="8"/>
          <c:order val="5"/>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8-1194-4B7F-86A8-65A8460B8D7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A-1194-4B7F-86A8-65A8460B8D7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C-1194-4B7F-86A8-65A8460B8D7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E-1194-4B7F-86A8-65A8460B8D7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0-1194-4B7F-86A8-65A8460B8D7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11786</c:v>
                </c:pt>
                <c:pt idx="1">
                  <c:v>636</c:v>
                </c:pt>
                <c:pt idx="2">
                  <c:v>552</c:v>
                </c:pt>
                <c:pt idx="3" formatCode="General">
                  <c:v>60</c:v>
                </c:pt>
              </c:numCache>
            </c:numRef>
          </c:val>
          <c:extLst>
            <c:ext xmlns:c16="http://schemas.microsoft.com/office/drawing/2014/chart" uri="{C3380CC4-5D6E-409C-BE32-E72D297353CC}">
              <c16:uniqueId val="{00000041-1194-4B7F-86A8-65A8460B8D7C}"/>
            </c:ext>
          </c:extLst>
        </c:ser>
        <c:ser>
          <c:idx val="1"/>
          <c:order val="6"/>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3-1194-4B7F-86A8-65A8460B8D7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5-1194-4B7F-86A8-65A8460B8D7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7-1194-4B7F-86A8-65A8460B8D7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9-1194-4B7F-86A8-65A8460B8D7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B-1194-4B7F-86A8-65A8460B8D7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11786</c:v>
                </c:pt>
                <c:pt idx="1">
                  <c:v>636</c:v>
                </c:pt>
                <c:pt idx="2">
                  <c:v>552</c:v>
                </c:pt>
                <c:pt idx="3" formatCode="General">
                  <c:v>60</c:v>
                </c:pt>
              </c:numCache>
            </c:numRef>
          </c:val>
          <c:extLst>
            <c:ext xmlns:c16="http://schemas.microsoft.com/office/drawing/2014/chart" uri="{C3380CC4-5D6E-409C-BE32-E72D297353CC}">
              <c16:uniqueId val="{0000004C-1194-4B7F-86A8-65A8460B8D7C}"/>
            </c:ext>
          </c:extLst>
        </c:ser>
        <c:ser>
          <c:idx val="2"/>
          <c:order val="7"/>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E-1194-4B7F-86A8-65A8460B8D7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0-1194-4B7F-86A8-65A8460B8D7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2-1194-4B7F-86A8-65A8460B8D7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4-1194-4B7F-86A8-65A8460B8D7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6-1194-4B7F-86A8-65A8460B8D7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11786</c:v>
                </c:pt>
                <c:pt idx="1">
                  <c:v>636</c:v>
                </c:pt>
                <c:pt idx="2">
                  <c:v>552</c:v>
                </c:pt>
                <c:pt idx="3" formatCode="General">
                  <c:v>60</c:v>
                </c:pt>
              </c:numCache>
            </c:numRef>
          </c:val>
          <c:extLst>
            <c:ext xmlns:c16="http://schemas.microsoft.com/office/drawing/2014/chart" uri="{C3380CC4-5D6E-409C-BE32-E72D297353CC}">
              <c16:uniqueId val="{00000057-1194-4B7F-86A8-65A8460B8D7C}"/>
            </c:ext>
          </c:extLst>
        </c:ser>
        <c:ser>
          <c:idx val="0"/>
          <c:order val="8"/>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9-1194-4B7F-86A8-65A8460B8D7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B-1194-4B7F-86A8-65A8460B8D7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D-1194-4B7F-86A8-65A8460B8D7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F-1194-4B7F-86A8-65A8460B8D7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61-1194-4B7F-86A8-65A8460B8D7C}"/>
              </c:ext>
            </c:extLst>
          </c:dPt>
          <c:dLbls>
            <c:numFmt formatCode="General"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11786</c:v>
                </c:pt>
                <c:pt idx="1">
                  <c:v>636</c:v>
                </c:pt>
                <c:pt idx="2">
                  <c:v>552</c:v>
                </c:pt>
                <c:pt idx="3" formatCode="General">
                  <c:v>60</c:v>
                </c:pt>
              </c:numCache>
            </c:numRef>
          </c:val>
          <c:extLst>
            <c:ext xmlns:c16="http://schemas.microsoft.com/office/drawing/2014/chart" uri="{C3380CC4-5D6E-409C-BE32-E72D297353CC}">
              <c16:uniqueId val="{00000062-1194-4B7F-86A8-65A8460B8D7C}"/>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b"/>
      <c:layout>
        <c:manualLayout>
          <c:xMode val="edge"/>
          <c:yMode val="edge"/>
          <c:x val="8.301259512372286E-2"/>
          <c:y val="0.81574551037038212"/>
          <c:w val="0.86246494760673997"/>
          <c:h val="0.10552945890340049"/>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GRAFİK-3 YERLİ VE İTHAL ÜRÜNLERDE DENETİM SONUÇLARI</a:t>
            </a:r>
            <a:endParaRPr lang="tr-TR" sz="1400">
              <a:solidFill>
                <a:schemeClr val="tx1">
                  <a:lumMod val="65000"/>
                  <a:lumOff val="35000"/>
                </a:schemeClr>
              </a:solidFill>
              <a:effectLst/>
            </a:endParaRPr>
          </a:p>
        </c:rich>
      </c:tx>
      <c:layout>
        <c:manualLayout>
          <c:xMode val="edge"/>
          <c:yMode val="edge"/>
          <c:x val="8.7512175295695396E-2"/>
          <c:y val="0"/>
        </c:manualLayout>
      </c:layout>
      <c:overlay val="0"/>
      <c:spPr>
        <a:noFill/>
        <a:ln>
          <a:noFill/>
        </a:ln>
        <a:effectLst/>
      </c:spPr>
    </c:title>
    <c:autoTitleDeleted val="0"/>
    <c:view3D>
      <c:rotX val="15"/>
      <c:rotY val="20"/>
      <c:rAngAx val="0"/>
    </c:view3D>
    <c:floor>
      <c:thickness val="0"/>
    </c:floor>
    <c:sideWall>
      <c:thickness val="0"/>
      <c:spPr>
        <a:noFill/>
        <a:ln>
          <a:noFill/>
        </a:ln>
        <a:effectLst/>
      </c:spPr>
    </c:sideWall>
    <c:backWall>
      <c:thickness val="0"/>
      <c:spPr>
        <a:noFill/>
        <a:ln>
          <a:noFill/>
        </a:ln>
        <a:effectLst/>
      </c:spPr>
    </c:backWall>
    <c:plotArea>
      <c:layout>
        <c:manualLayout>
          <c:layoutTarget val="inner"/>
          <c:xMode val="edge"/>
          <c:yMode val="edge"/>
          <c:x val="8.1870858799992827E-2"/>
          <c:y val="0.14728075155668341"/>
          <c:w val="0.87752950583163858"/>
          <c:h val="0.55465423401022262"/>
        </c:manualLayout>
      </c:layout>
      <c:bar3DChart>
        <c:barDir val="col"/>
        <c:grouping val="clustered"/>
        <c:varyColors val="0"/>
        <c:ser>
          <c:idx val="0"/>
          <c:order val="0"/>
          <c:tx>
            <c:strRef>
              <c:f>GRAFİKLER!$C$13</c:f>
              <c:strCache>
                <c:ptCount val="1"/>
                <c:pt idx="0">
                  <c:v>UYGUN BULUNAN 
  ÜRÜN PARTİ SAYISI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GRAFİKLER!$C$14:$C$16</c:f>
              <c:numCache>
                <c:formatCode>#,##0</c:formatCode>
                <c:ptCount val="2"/>
                <c:pt idx="0">
                  <c:v>847</c:v>
                </c:pt>
                <c:pt idx="1">
                  <c:v>10939</c:v>
                </c:pt>
              </c:numCache>
            </c:numRef>
          </c:val>
          <c:extLst>
            <c:ext xmlns:c16="http://schemas.microsoft.com/office/drawing/2014/chart" uri="{C3380CC4-5D6E-409C-BE32-E72D297353CC}">
              <c16:uniqueId val="{00000000-2A88-4247-85CA-7F987493A194}"/>
            </c:ext>
          </c:extLst>
        </c:ser>
        <c:ser>
          <c:idx val="1"/>
          <c:order val="1"/>
          <c:tx>
            <c:strRef>
              <c:f>GRAFİKLER!$D$13</c:f>
              <c:strCache>
                <c:ptCount val="1"/>
                <c:pt idx="0">
                  <c:v>UYGUNSUZ BULUNAN 
 ÜRÜN PARTİ SAYISI</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2964492234925937"/>
                  <c:y val="-6.9843358032334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88-4247-85CA-7F987493A19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GRAFİKLER!$D$14:$D$16</c:f>
              <c:numCache>
                <c:formatCode>#,##0</c:formatCode>
                <c:ptCount val="2"/>
                <c:pt idx="0">
                  <c:v>22</c:v>
                </c:pt>
                <c:pt idx="1">
                  <c:v>530</c:v>
                </c:pt>
              </c:numCache>
            </c:numRef>
          </c:val>
          <c:extLst>
            <c:ext xmlns:c16="http://schemas.microsoft.com/office/drawing/2014/chart" uri="{C3380CC4-5D6E-409C-BE32-E72D297353CC}">
              <c16:uniqueId val="{00000002-2A88-4247-85CA-7F987493A194}"/>
            </c:ext>
          </c:extLst>
        </c:ser>
        <c:ser>
          <c:idx val="2"/>
          <c:order val="2"/>
          <c:tx>
            <c:strRef>
              <c:f>GRAFİKLER!$E$13</c:f>
              <c:strCache>
                <c:ptCount val="1"/>
                <c:pt idx="0">
                  <c:v>GÜVENSİZ BULUNAN 
 ÜRÜN PARTİ SAYISI</c:v>
                </c:pt>
              </c:strCache>
            </c:strRef>
          </c:tx>
          <c:spPr>
            <a:solidFill>
              <a:srgbClr val="C00000"/>
            </a:solidFill>
            <a:ln w="9525" cap="flat" cmpd="sng" algn="ctr">
              <a:solidFill>
                <a:srgbClr val="C00000"/>
              </a:solidFill>
              <a:round/>
            </a:ln>
            <a:effectLst/>
            <a:scene3d>
              <a:camera prst="orthographicFront"/>
              <a:lightRig rig="threePt" dir="t"/>
            </a:scene3d>
            <a:sp3d>
              <a:bevelT w="190500" h="38100"/>
            </a:sp3d>
          </c:spPr>
          <c:invertIfNegative val="0"/>
          <c:dLbls>
            <c:dLbl>
              <c:idx val="0"/>
              <c:layout>
                <c:manualLayout>
                  <c:x val="-1.6069966778628278E-2"/>
                  <c:y val="-4.86998683312028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88-4247-85CA-7F987493A194}"/>
                </c:ext>
              </c:extLst>
            </c:dLbl>
            <c:dLbl>
              <c:idx val="1"/>
              <c:layout>
                <c:manualLayout>
                  <c:x val="0"/>
                  <c:y val="-2.030456492095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A88-4247-85CA-7F987493A19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GRAFİKLER!$E$14:$E$16</c:f>
              <c:numCache>
                <c:formatCode>0</c:formatCode>
                <c:ptCount val="2"/>
                <c:pt idx="0" formatCode="General">
                  <c:v>8</c:v>
                </c:pt>
                <c:pt idx="1">
                  <c:v>52</c:v>
                </c:pt>
              </c:numCache>
            </c:numRef>
          </c:val>
          <c:extLst>
            <c:ext xmlns:c16="http://schemas.microsoft.com/office/drawing/2014/chart" uri="{C3380CC4-5D6E-409C-BE32-E72D297353CC}">
              <c16:uniqueId val="{00000005-2A88-4247-85CA-7F987493A194}"/>
            </c:ext>
          </c:extLst>
        </c:ser>
        <c:dLbls>
          <c:showLegendKey val="0"/>
          <c:showVal val="1"/>
          <c:showCatName val="0"/>
          <c:showSerName val="0"/>
          <c:showPercent val="0"/>
          <c:showBubbleSize val="0"/>
        </c:dLbls>
        <c:gapWidth val="150"/>
        <c:shape val="box"/>
        <c:axId val="115389184"/>
        <c:axId val="115390720"/>
        <c:axId val="0"/>
      </c:bar3DChart>
      <c:catAx>
        <c:axId val="1153891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15390720"/>
        <c:crosses val="autoZero"/>
        <c:auto val="1"/>
        <c:lblAlgn val="ctr"/>
        <c:lblOffset val="100"/>
        <c:noMultiLvlLbl val="0"/>
      </c:catAx>
      <c:valAx>
        <c:axId val="115390720"/>
        <c:scaling>
          <c:orientation val="minMax"/>
          <c:max val="12000"/>
        </c:scaling>
        <c:delete val="0"/>
        <c:axPos val="l"/>
        <c:majorGridlines>
          <c:spPr>
            <a:ln w="9525" cap="flat" cmpd="sng" algn="ctr">
              <a:noFill/>
              <a:round/>
            </a:ln>
            <a:effectLst/>
          </c:spPr>
        </c:majorGridlines>
        <c:minorGridlines>
          <c:spPr>
            <a:ln>
              <a:noFill/>
            </a:ln>
          </c:spPr>
        </c:min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15389184"/>
        <c:crosses val="autoZero"/>
        <c:crossBetween val="between"/>
        <c:majorUnit val="3000"/>
      </c:valAx>
    </c:plotArea>
    <c:legend>
      <c:legendPos val="b"/>
      <c:layout>
        <c:manualLayout>
          <c:xMode val="edge"/>
          <c:yMode val="edge"/>
          <c:x val="2.3525403695399003E-2"/>
          <c:y val="0.8390882718607543"/>
          <c:w val="0.69285624695143189"/>
          <c:h val="9.0909864768132481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GRAFİK-4 </a:t>
            </a:r>
            <a:r>
              <a:rPr lang="en-US" sz="1400">
                <a:solidFill>
                  <a:schemeClr val="tx1">
                    <a:lumMod val="65000"/>
                    <a:lumOff val="35000"/>
                  </a:schemeClr>
                </a:solidFill>
              </a:rPr>
              <a:t>DENETLENEN ÜRÜNLER VE TEST/MUAYENE İLİŞKİSİ</a:t>
            </a:r>
          </a:p>
        </c:rich>
      </c:tx>
      <c:layout>
        <c:manualLayout>
          <c:xMode val="edge"/>
          <c:yMode val="edge"/>
          <c:x val="0.10323222483787463"/>
          <c:y val="9.4090297536337353E-2"/>
        </c:manualLayout>
      </c:layout>
      <c:overlay val="0"/>
      <c:spPr>
        <a:noFill/>
        <a:ln>
          <a:noFill/>
        </a:ln>
        <a:effectLst/>
      </c:spPr>
    </c:title>
    <c:autoTitleDeleted val="0"/>
    <c:plotArea>
      <c:layout>
        <c:manualLayout>
          <c:layoutTarget val="inner"/>
          <c:xMode val="edge"/>
          <c:yMode val="edge"/>
          <c:x val="6.1111111111111123E-2"/>
          <c:y val="0.28217592592592633"/>
          <c:w val="0.6137163167104116"/>
          <c:h val="0.65300925925926012"/>
        </c:manualLayout>
      </c:layout>
      <c:ofPieChart>
        <c:ofPieType val="bar"/>
        <c:varyColors val="1"/>
        <c:ser>
          <c:idx val="0"/>
          <c:order val="0"/>
          <c:tx>
            <c:strRef>
              <c:f>GRAFİKLER!$A$36</c:f>
              <c:strCache>
                <c:ptCount val="1"/>
                <c:pt idx="0">
                  <c:v>DENETLENEN ÜRÜNLER VE TEST/MUAYENE İLİŞKİSİ</c:v>
                </c:pt>
              </c:strCache>
            </c:strRef>
          </c:tx>
          <c:spPr>
            <a:scene3d>
              <a:camera prst="orthographicFront"/>
              <a:lightRig rig="threePt" dir="t"/>
            </a:scene3d>
            <a:sp3d>
              <a:bevelT w="190500" h="38100"/>
            </a:sp3d>
          </c:spPr>
          <c:explosion val="25"/>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4DF8-4FFE-B3F4-45AA03ED22EF}"/>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4DF8-4FFE-B3F4-45AA03ED22EF}"/>
              </c:ext>
            </c:extLst>
          </c:dPt>
          <c:dPt>
            <c:idx val="2"/>
            <c:bubble3D val="0"/>
            <c:spPr>
              <a:solidFill>
                <a:srgbClr val="C00000"/>
              </a:solidFill>
              <a:ln>
                <a:solidFill>
                  <a:srgbClr val="C00000"/>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4DF8-4FFE-B3F4-45AA03ED22EF}"/>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4DF8-4FFE-B3F4-45AA03ED22EF}"/>
              </c:ext>
            </c:extLst>
          </c:dPt>
          <c:dPt>
            <c:idx val="4"/>
            <c:bubble3D val="0"/>
            <c:explosion val="0"/>
            <c:spPr>
              <a:solidFill>
                <a:schemeClr val="accent2">
                  <a:lumMod val="75000"/>
                </a:schemeClr>
              </a:solidFill>
              <a:ln>
                <a:solidFill>
                  <a:schemeClr val="accent2">
                    <a:lumMod val="75000"/>
                  </a:schemeClr>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4DF8-4FFE-B3F4-45AA03ED22EF}"/>
              </c:ext>
            </c:extLst>
          </c:dPt>
          <c:dLbls>
            <c:dLbl>
              <c:idx val="0"/>
              <c:tx>
                <c:rich>
                  <a:bodyPr/>
                  <a:lstStyle/>
                  <a:p>
                    <a:fld id="{7812B557-515F-4868-A2DD-1485F0F37433}" type="VALUE">
                      <a:rPr lang="en-US"/>
                      <a:pPr/>
                      <a:t>[DEĞER]</a:t>
                    </a:fld>
                    <a:r>
                      <a:rPr lang="en-US" baseline="0"/>
                      <a:t>; 94%</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DF8-4FFE-B3F4-45AA03ED22EF}"/>
                </c:ext>
              </c:extLst>
            </c:dLbl>
            <c:dLbl>
              <c:idx val="1"/>
              <c:delete val="1"/>
              <c:extLst>
                <c:ext xmlns:c15="http://schemas.microsoft.com/office/drawing/2012/chart" uri="{CE6537A1-D6FC-4f65-9D91-7224C49458BB}"/>
                <c:ext xmlns:c16="http://schemas.microsoft.com/office/drawing/2014/chart" uri="{C3380CC4-5D6E-409C-BE32-E72D297353CC}">
                  <c16:uniqueId val="{00000003-4DF8-4FFE-B3F4-45AA03ED22EF}"/>
                </c:ext>
              </c:extLst>
            </c:dLbl>
            <c:dLbl>
              <c:idx val="2"/>
              <c:layout>
                <c:manualLayout>
                  <c:x val="-0.10464676290463711"/>
                  <c:y val="-5.0925925925925923E-2"/>
                </c:manualLayout>
              </c:layout>
              <c:tx>
                <c:rich>
                  <a:bodyPr/>
                  <a:lstStyle/>
                  <a:p>
                    <a:fld id="{6F292B52-AB4C-4C81-BB15-127EC3E26708}" type="VALUE">
                      <a:rPr lang="en-US"/>
                      <a:pPr/>
                      <a:t>[DEĞER]</a:t>
                    </a:fld>
                    <a:r>
                      <a:rPr lang="en-US" baseline="0"/>
                      <a:t>; 2%</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DF8-4FFE-B3F4-45AA03ED22EF}"/>
                </c:ext>
              </c:extLst>
            </c:dLbl>
            <c:dLbl>
              <c:idx val="3"/>
              <c:tx>
                <c:rich>
                  <a:bodyPr/>
                  <a:lstStyle/>
                  <a:p>
                    <a:fld id="{D86F5E4F-2D1C-4D36-B41D-2367E0CB7B7A}" type="VALUE">
                      <a:rPr lang="en-US"/>
                      <a:pPr/>
                      <a:t>[DEĞER]</a:t>
                    </a:fld>
                    <a:r>
                      <a:rPr lang="en-US" baseline="0"/>
                      <a:t>; 98%</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DF8-4FFE-B3F4-45AA03ED22EF}"/>
                </c:ext>
              </c:extLst>
            </c:dLbl>
            <c:dLbl>
              <c:idx val="4"/>
              <c:tx>
                <c:rich>
                  <a:bodyPr/>
                  <a:lstStyle/>
                  <a:p>
                    <a:r>
                      <a:rPr lang="en-US"/>
                      <a:t>2908, 6%</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DF8-4FFE-B3F4-45AA03ED22EF}"/>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GRAFİKLER!$C$35:$F$35</c:f>
              <c:strCache>
                <c:ptCount val="4"/>
                <c:pt idx="0">
                  <c:v>İŞARET/BELGE KONTROLÜ YAPILANLAR</c:v>
                </c:pt>
                <c:pt idx="1">
                  <c:v>TEST/MUAYENE YAPILAN ÜRÜNLER</c:v>
                </c:pt>
                <c:pt idx="2">
                  <c:v>TEST MUAYENE YAPILAN ÜRÜNLERDENGÜVENSİZ BULUNANLAR</c:v>
                </c:pt>
                <c:pt idx="3">
                  <c:v>TEST MUAYENE YAPILAN ÜRÜNLERDEN GÜVENLİ BULUNANLAR</c:v>
                </c:pt>
              </c:strCache>
            </c:strRef>
          </c:cat>
          <c:val>
            <c:numRef>
              <c:f>GRAFİKLER!$C$36:$F$36</c:f>
              <c:numCache>
                <c:formatCode>General</c:formatCode>
                <c:ptCount val="4"/>
                <c:pt idx="0" formatCode="#,##0">
                  <c:v>10126</c:v>
                </c:pt>
                <c:pt idx="2">
                  <c:v>60</c:v>
                </c:pt>
                <c:pt idx="3" formatCode="0">
                  <c:v>2848</c:v>
                </c:pt>
              </c:numCache>
            </c:numRef>
          </c:val>
          <c:extLst>
            <c:ext xmlns:c16="http://schemas.microsoft.com/office/drawing/2014/chart" uri="{C3380CC4-5D6E-409C-BE32-E72D297353CC}">
              <c16:uniqueId val="{0000000A-4DF8-4FFE-B3F4-45AA03ED22EF}"/>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layout>
        <c:manualLayout>
          <c:xMode val="edge"/>
          <c:yMode val="edge"/>
          <c:x val="0.70440475868351615"/>
          <c:y val="0.31036140765892317"/>
          <c:w val="0.2955952413164849"/>
          <c:h val="0.5770359360856556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GRAFİK-5 </a:t>
            </a:r>
            <a:r>
              <a:rPr lang="tr-TR" sz="1400">
                <a:solidFill>
                  <a:schemeClr val="tx1">
                    <a:lumMod val="65000"/>
                    <a:lumOff val="35000"/>
                  </a:schemeClr>
                </a:solidFill>
              </a:rPr>
              <a:t>UYGULANAN PARA CEZALARI</a:t>
            </a:r>
          </a:p>
        </c:rich>
      </c:tx>
      <c:overlay val="0"/>
      <c:spPr>
        <a:noFill/>
        <a:ln>
          <a:noFill/>
        </a:ln>
        <a:effectLst/>
      </c:spPr>
    </c:title>
    <c:autoTitleDeleted val="0"/>
    <c:plotArea>
      <c:layout>
        <c:manualLayout>
          <c:layoutTarget val="inner"/>
          <c:xMode val="edge"/>
          <c:yMode val="edge"/>
          <c:x val="8.7580927384077065E-2"/>
          <c:y val="0.2083760683760684"/>
          <c:w val="0.88186351706036759"/>
          <c:h val="0.58154357628373354"/>
        </c:manualLayout>
      </c:layout>
      <c:barChart>
        <c:barDir val="col"/>
        <c:grouping val="stacked"/>
        <c:varyColors val="0"/>
        <c:ser>
          <c:idx val="0"/>
          <c:order val="0"/>
          <c:tx>
            <c:strRef>
              <c:f>GRAFİKLER!$C$50</c:f>
              <c:strCache>
                <c:ptCount val="1"/>
                <c:pt idx="0">
                  <c:v>PARA CEZASI UYGULANAN ÜRÜN PARTİSİ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4166666666666666"/>
                  <c:y val="-4.78632478632479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0B0-45EA-87C5-BAFC136D679D}"/>
                </c:ext>
              </c:extLst>
            </c:dLbl>
            <c:dLbl>
              <c:idx val="1"/>
              <c:layout>
                <c:manualLayout>
                  <c:x val="0.15151515151515169"/>
                  <c:y val="-2.721088435374160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B0-45EA-87C5-BAFC136D679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GRAFİKLER!$C$51:$C$52</c:f>
              <c:numCache>
                <c:formatCode>0</c:formatCode>
                <c:ptCount val="2"/>
                <c:pt idx="0" formatCode="General">
                  <c:v>22</c:v>
                </c:pt>
                <c:pt idx="1">
                  <c:v>169</c:v>
                </c:pt>
              </c:numCache>
            </c:numRef>
          </c:val>
          <c:extLst>
            <c:ext xmlns:c16="http://schemas.microsoft.com/office/drawing/2014/chart" uri="{C3380CC4-5D6E-409C-BE32-E72D297353CC}">
              <c16:uniqueId val="{00000002-40B0-45EA-87C5-BAFC136D679D}"/>
            </c:ext>
          </c:extLst>
        </c:ser>
        <c:ser>
          <c:idx val="1"/>
          <c:order val="1"/>
          <c:tx>
            <c:strRef>
              <c:f>GRAFİKLER!$D$50</c:f>
              <c:strCache>
                <c:ptCount val="1"/>
                <c:pt idx="0">
                  <c:v>PARA CEZASI UYGULANMAYAN ÜRÜN PARTİSİ</c:v>
                </c:pt>
              </c:strCache>
            </c:strRef>
          </c:tx>
          <c:spPr>
            <a:solidFill>
              <a:schemeClr val="accent2">
                <a:lumMod val="75000"/>
              </a:schemeClr>
            </a:solidFill>
            <a:ln w="9525" cap="flat" cmpd="sng" algn="ctr">
              <a:solidFill>
                <a:schemeClr val="accent2">
                  <a:lumMod val="75000"/>
                </a:schemeClr>
              </a:solidFill>
              <a:round/>
            </a:ln>
            <a:effectLst/>
            <a:scene3d>
              <a:camera prst="orthographicFront"/>
              <a:lightRig rig="threePt" dir="t"/>
            </a:scene3d>
            <a:sp3d>
              <a:bevelT w="190500" h="38100"/>
            </a:sp3d>
          </c:spPr>
          <c:invertIfNegative val="0"/>
          <c:dLbls>
            <c:dLbl>
              <c:idx val="0"/>
              <c:layout>
                <c:manualLayout>
                  <c:x val="0"/>
                  <c:y val="-7.521367521367522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B0-45EA-87C5-BAFC136D679D}"/>
                </c:ext>
              </c:extLst>
            </c:dLbl>
            <c:dLbl>
              <c:idx val="1"/>
              <c:layout>
                <c:manualLayout>
                  <c:x val="0.13223140495867769"/>
                  <c:y val="-0.1118669690098260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0B0-45EA-87C5-BAFC136D679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GRAFİKLER!$D$51:$D$52</c:f>
              <c:numCache>
                <c:formatCode>0</c:formatCode>
                <c:ptCount val="2"/>
                <c:pt idx="0" formatCode="General">
                  <c:v>38</c:v>
                </c:pt>
                <c:pt idx="1">
                  <c:v>383</c:v>
                </c:pt>
              </c:numCache>
            </c:numRef>
          </c:val>
          <c:extLst>
            <c:ext xmlns:c16="http://schemas.microsoft.com/office/drawing/2014/chart" uri="{C3380CC4-5D6E-409C-BE32-E72D297353CC}">
              <c16:uniqueId val="{00000005-40B0-45EA-87C5-BAFC136D679D}"/>
            </c:ext>
          </c:extLst>
        </c:ser>
        <c:dLbls>
          <c:showLegendKey val="0"/>
          <c:showVal val="1"/>
          <c:showCatName val="0"/>
          <c:showSerName val="0"/>
          <c:showPercent val="0"/>
          <c:showBubbleSize val="0"/>
        </c:dLbls>
        <c:gapWidth val="150"/>
        <c:overlap val="100"/>
        <c:axId val="115582848"/>
        <c:axId val="115584384"/>
      </c:barChart>
      <c:catAx>
        <c:axId val="115582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15584384"/>
        <c:crosses val="autoZero"/>
        <c:auto val="1"/>
        <c:lblAlgn val="ctr"/>
        <c:lblOffset val="100"/>
        <c:noMultiLvlLbl val="0"/>
      </c:catAx>
      <c:valAx>
        <c:axId val="115584384"/>
        <c:scaling>
          <c:orientation val="minMax"/>
          <c:max val="600"/>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15582848"/>
        <c:crosses val="autoZero"/>
        <c:crossBetween val="between"/>
        <c:majorUnit val="100"/>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GRAFİK-6 DENETLENEN ÜRÜNLER İÇERİSİNDE UYGUNSUZLUK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4C68-4280-876D-3BEC4883938E}"/>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4C68-4280-876D-3BEC4883938E}"/>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4C68-4280-876D-3BEC4883938E}"/>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4C68-4280-876D-3BEC4883938E}"/>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4C68-4280-876D-3BEC4883938E}"/>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4C68-4280-876D-3BEC4883938E}"/>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4C68-4280-876D-3BEC4883938E}"/>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4C68-4280-876D-3BEC4883938E}"/>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4C68-4280-876D-3BEC4883938E}"/>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4C68-4280-876D-3BEC4883938E}"/>
              </c:ext>
            </c:extLst>
          </c:dPt>
          <c:dLbls>
            <c:dLbl>
              <c:idx val="6"/>
              <c:layout>
                <c:manualLayout>
                  <c:x val="-7.9129574678536933E-3"/>
                  <c:y val="1.255886970172684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C68-4280-876D-3BEC4883938E}"/>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4C68-4280-876D-3BEC4883938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GRAFİKLER!$B$63:$B$69</c:f>
              <c:strCache>
                <c:ptCount val="7"/>
                <c:pt idx="0">
                  <c:v>HAZIR BETON DIŞINDAKİ YAPI MALZEMELERİ </c:v>
                </c:pt>
                <c:pt idx="1">
                  <c:v>YEM</c:v>
                </c:pt>
                <c:pt idx="2">
                  <c:v>HAZIR BETON</c:v>
                </c:pt>
                <c:pt idx="3">
                  <c:v>KIRTASİYE</c:v>
                </c:pt>
                <c:pt idx="4">
                  <c:v>BİYOSİDAL ÜRÜNLER (TİP 1 VE TİP 19 HARİÇ)</c:v>
                </c:pt>
                <c:pt idx="5">
                  <c:v>BİYOSİDAL ÜRÜNLER (TİP 1 VE TİP 19)</c:v>
                </c:pt>
                <c:pt idx="6">
                  <c:v>DİĞER ÜRÜN GRUPLARI</c:v>
                </c:pt>
              </c:strCache>
            </c:strRef>
          </c:cat>
          <c:val>
            <c:numRef>
              <c:f>GRAFİKLER!$C$63:$C$69</c:f>
              <c:numCache>
                <c:formatCode>0.00</c:formatCode>
                <c:ptCount val="7"/>
                <c:pt idx="0">
                  <c:v>48.913043478260867</c:v>
                </c:pt>
                <c:pt idx="1">
                  <c:v>18.115942028985508</c:v>
                </c:pt>
                <c:pt idx="2">
                  <c:v>10.688405797101449</c:v>
                </c:pt>
                <c:pt idx="3">
                  <c:v>5.6159420289855069</c:v>
                </c:pt>
                <c:pt idx="4">
                  <c:v>4.7101449275362315</c:v>
                </c:pt>
                <c:pt idx="5">
                  <c:v>3.6231884057971016</c:v>
                </c:pt>
                <c:pt idx="6">
                  <c:v>8.3333333333333339</c:v>
                </c:pt>
              </c:numCache>
            </c:numRef>
          </c:val>
          <c:extLst>
            <c:ext xmlns:c16="http://schemas.microsoft.com/office/drawing/2014/chart" uri="{C3380CC4-5D6E-409C-BE32-E72D297353CC}">
              <c16:uniqueId val="{00000014-4C68-4280-876D-3BEC4883938E}"/>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GRAFİK-7 DENETLENEN İTHAL ÜRÜNLER İÇERİSİNDE UYGUNSUZLUK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B99F-45A0-B430-8A1972CDD545}"/>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B99F-45A0-B430-8A1972CDD545}"/>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B99F-45A0-B430-8A1972CDD545}"/>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B99F-45A0-B430-8A1972CDD545}"/>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B99F-45A0-B430-8A1972CDD545}"/>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B99F-45A0-B430-8A1972CDD545}"/>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B99F-45A0-B430-8A1972CDD545}"/>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B99F-45A0-B430-8A1972CDD545}"/>
              </c:ext>
            </c:extLst>
          </c:dPt>
          <c:dLbls>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99F-45A0-B430-8A1972CDD545}"/>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0-B99F-45A0-B430-8A1972CDD54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GRAFİKLER!$B$77:$B$79</c:f>
              <c:strCache>
                <c:ptCount val="3"/>
                <c:pt idx="0">
                  <c:v>KIRTASİYE </c:v>
                </c:pt>
                <c:pt idx="1">
                  <c:v>DİĞER TÜKETİCİ ÜRÜNLERİ</c:v>
                </c:pt>
                <c:pt idx="2">
                  <c:v>OYUNCAKLAR</c:v>
                </c:pt>
              </c:strCache>
            </c:strRef>
          </c:cat>
          <c:val>
            <c:numRef>
              <c:f>GRAFİKLER!$C$77:$C$79</c:f>
              <c:numCache>
                <c:formatCode>General</c:formatCode>
                <c:ptCount val="3"/>
                <c:pt idx="0">
                  <c:v>86.36363636363636</c:v>
                </c:pt>
                <c:pt idx="1">
                  <c:v>9.0909090909090917</c:v>
                </c:pt>
                <c:pt idx="2">
                  <c:v>4.5454545454545459</c:v>
                </c:pt>
              </c:numCache>
            </c:numRef>
          </c:val>
          <c:extLst>
            <c:ext xmlns:c16="http://schemas.microsoft.com/office/drawing/2014/chart" uri="{C3380CC4-5D6E-409C-BE32-E72D297353CC}">
              <c16:uniqueId val="{00000011-B99F-45A0-B430-8A1972CDD545}"/>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132E-2"/>
          <c:y val="0.17772076051469179"/>
          <c:w val="0.30040597866443225"/>
          <c:h val="0.8222791472671116"/>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GRAFİK-8 DENETLENEN  ÜRÜNLER İÇERİSİNDE GÜVENSİZLİK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E898-4126-84C9-BF0AE04D662A}"/>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E898-4126-84C9-BF0AE04D662A}"/>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E898-4126-84C9-BF0AE04D662A}"/>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E898-4126-84C9-BF0AE04D662A}"/>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E898-4126-84C9-BF0AE04D662A}"/>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E898-4126-84C9-BF0AE04D662A}"/>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E898-4126-84C9-BF0AE04D662A}"/>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E898-4126-84C9-BF0AE04D662A}"/>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E898-4126-84C9-BF0AE04D662A}"/>
              </c:ext>
            </c:extLst>
          </c:dPt>
          <c:dLbls>
            <c:dLbl>
              <c:idx val="4"/>
              <c:layout>
                <c:manualLayout>
                  <c:x val="-4.3572984749455394E-3"/>
                  <c:y val="1.515163445478406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tr-TR"/>
                </a:p>
              </c:txPr>
              <c:dLblPos val="bestFit"/>
              <c:showLegendKey val="0"/>
              <c:showVal val="0"/>
              <c:showCatName val="0"/>
              <c:showSerName val="0"/>
              <c:showPercent val="1"/>
              <c:showBubbleSize val="0"/>
              <c:extLst>
                <c:ext xmlns:c15="http://schemas.microsoft.com/office/drawing/2012/chart" uri="{CE6537A1-D6FC-4f65-9D91-7224C49458BB}">
                  <c15:layout>
                    <c:manualLayout>
                      <c:w val="5.4727668845315901E-2"/>
                      <c:h val="5.1469816272965874E-2"/>
                    </c:manualLayout>
                  </c15:layout>
                </c:ext>
                <c:ext xmlns:c16="http://schemas.microsoft.com/office/drawing/2014/chart" uri="{C3380CC4-5D6E-409C-BE32-E72D297353CC}">
                  <c16:uniqueId val="{00000009-E898-4126-84C9-BF0AE04D662A}"/>
                </c:ext>
              </c:extLst>
            </c:dLbl>
            <c:dLbl>
              <c:idx val="5"/>
              <c:layout>
                <c:manualLayout>
                  <c:x val="-3.0501089324618817E-2"/>
                  <c:y val="-2.727272727272736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898-4126-84C9-BF0AE04D662A}"/>
                </c:ext>
              </c:extLst>
            </c:dLbl>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898-4126-84C9-BF0AE04D662A}"/>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898-4126-84C9-BF0AE04D662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GRAFİKLER!$B$91:$B$98</c:f>
              <c:strCache>
                <c:ptCount val="8"/>
                <c:pt idx="0">
                  <c:v>HAZIR BETON</c:v>
                </c:pt>
                <c:pt idx="1">
                  <c:v>TEKSTİL</c:v>
                </c:pt>
                <c:pt idx="2">
                  <c:v>KIRTASİYE</c:v>
                </c:pt>
                <c:pt idx="3">
                  <c:v>DİĞER TÜKETİCİ ÜRÜNLERİ</c:v>
                </c:pt>
                <c:pt idx="4">
                  <c:v>KİŞİSEL KORUYUCU DONANIMLAR</c:v>
                </c:pt>
                <c:pt idx="5">
                  <c:v>DETERJANLAR</c:v>
                </c:pt>
                <c:pt idx="6">
                  <c:v>AYAKKABI</c:v>
                </c:pt>
                <c:pt idx="7">
                  <c:v>OYUNCAKLAR</c:v>
                </c:pt>
              </c:strCache>
            </c:strRef>
          </c:cat>
          <c:val>
            <c:numRef>
              <c:f>GRAFİKLER!$C$91:$C$98</c:f>
              <c:numCache>
                <c:formatCode>General</c:formatCode>
                <c:ptCount val="8"/>
                <c:pt idx="0">
                  <c:v>30</c:v>
                </c:pt>
                <c:pt idx="1">
                  <c:v>25</c:v>
                </c:pt>
                <c:pt idx="2">
                  <c:v>23.333333333333332</c:v>
                </c:pt>
                <c:pt idx="3">
                  <c:v>8.3333333333333339</c:v>
                </c:pt>
                <c:pt idx="4">
                  <c:v>6.666666666666667</c:v>
                </c:pt>
                <c:pt idx="5">
                  <c:v>3.3333333333333335</c:v>
                </c:pt>
                <c:pt idx="6">
                  <c:v>1.6666666666666667</c:v>
                </c:pt>
                <c:pt idx="7">
                  <c:v>1.6666666666666667</c:v>
                </c:pt>
              </c:numCache>
            </c:numRef>
          </c:val>
          <c:extLst>
            <c:ext xmlns:c16="http://schemas.microsoft.com/office/drawing/2014/chart" uri="{C3380CC4-5D6E-409C-BE32-E72D297353CC}">
              <c16:uniqueId val="{00000012-E898-4126-84C9-BF0AE04D662A}"/>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501398109549E-2"/>
          <c:y val="0.27045122784309494"/>
          <c:w val="0.30912064913454529"/>
          <c:h val="0.55779048166924339"/>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0.36254</cdr:x>
      <cdr:y>0.83159</cdr:y>
    </cdr:from>
    <cdr:to>
      <cdr:x>0.64623</cdr:x>
      <cdr:y>0.92967</cdr:y>
    </cdr:to>
    <cdr:sp macro="" textlink="">
      <cdr:nvSpPr>
        <cdr:cNvPr id="2" name="Metin kutusu 1"/>
        <cdr:cNvSpPr txBox="1"/>
      </cdr:nvSpPr>
      <cdr:spPr>
        <a:xfrm xmlns:a="http://schemas.openxmlformats.org/drawingml/2006/main">
          <a:off x="2196227" y="4617864"/>
          <a:ext cx="1718547" cy="5446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900">
              <a:solidFill>
                <a:schemeClr val="tx1">
                  <a:lumMod val="50000"/>
                  <a:lumOff val="50000"/>
                </a:schemeClr>
              </a:solidFill>
            </a:rPr>
            <a:t>   </a:t>
          </a:r>
          <a:r>
            <a:rPr lang="tr-TR" sz="900">
              <a:solidFill>
                <a:schemeClr val="tx1">
                  <a:lumMod val="75000"/>
                  <a:lumOff val="25000"/>
                </a:schemeClr>
              </a:solidFill>
            </a:rPr>
            <a:t>UYGUNSUZ/GÜVENSİZ BULUNAN</a:t>
          </a:r>
          <a:r>
            <a:rPr lang="tr-TR" sz="900" baseline="0">
              <a:solidFill>
                <a:schemeClr val="tx1">
                  <a:lumMod val="75000"/>
                  <a:lumOff val="25000"/>
                </a:schemeClr>
              </a:solidFill>
            </a:rPr>
            <a:t> ÜRÜNLER</a:t>
          </a:r>
          <a:endParaRPr lang="tr-TR" sz="900">
            <a:solidFill>
              <a:schemeClr val="tx1">
                <a:lumMod val="75000"/>
                <a:lumOff val="25000"/>
              </a:schemeClr>
            </a:solidFill>
          </a:endParaRPr>
        </a:p>
      </cdr:txBody>
    </cdr:sp>
  </cdr:relSizeAnchor>
  <cdr:relSizeAnchor xmlns:cdr="http://schemas.openxmlformats.org/drawingml/2006/chartDrawing">
    <cdr:from>
      <cdr:x>0.35102</cdr:x>
      <cdr:y>0.8653</cdr:y>
    </cdr:from>
    <cdr:to>
      <cdr:x>0.36576</cdr:x>
      <cdr:y>0.87648</cdr:y>
    </cdr:to>
    <cdr:sp macro="" textlink="">
      <cdr:nvSpPr>
        <cdr:cNvPr id="3" name="Dikdörtgen 2"/>
        <cdr:cNvSpPr/>
      </cdr:nvSpPr>
      <cdr:spPr>
        <a:xfrm xmlns:a="http://schemas.openxmlformats.org/drawingml/2006/main">
          <a:off x="2126440" y="4805049"/>
          <a:ext cx="89293" cy="62084"/>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tr-T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CB64F-F96B-485A-8B53-CC4EEE66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1172</Words>
  <Characters>6681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Güzide Zeynep Karahisarlı</dc:creator>
  <cp:keywords/>
  <dc:description/>
  <cp:lastModifiedBy>Münevver KOÇAK</cp:lastModifiedBy>
  <cp:revision>7</cp:revision>
  <cp:lastPrinted>2019-04-25T08:34:00Z</cp:lastPrinted>
  <dcterms:created xsi:type="dcterms:W3CDTF">2021-11-23T07:13:00Z</dcterms:created>
  <dcterms:modified xsi:type="dcterms:W3CDTF">2021-11-24T08:09:00Z</dcterms:modified>
</cp:coreProperties>
</file>